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C1752" w14:textId="177D5B38" w:rsidR="00636335" w:rsidRPr="00D37759" w:rsidRDefault="00EF29B9" w:rsidP="006C2F92">
      <w:pPr>
        <w:spacing w:before="80"/>
        <w:ind w:left="288" w:hanging="288"/>
        <w:jc w:val="both"/>
        <w:rPr>
          <w:rFonts w:asciiTheme="minorHAnsi" w:hAnsiTheme="minorHAnsi" w:cstheme="minorHAnsi"/>
          <w:sz w:val="22"/>
          <w:szCs w:val="22"/>
        </w:rPr>
      </w:pPr>
      <w:r w:rsidRPr="00D37759">
        <w:rPr>
          <w:rFonts w:asciiTheme="minorHAnsi" w:hAnsiTheme="minorHAnsi" w:cstheme="minorHAnsi"/>
          <w:sz w:val="22"/>
          <w:szCs w:val="22"/>
        </w:rPr>
        <w:t>1</w:t>
      </w:r>
      <w:r w:rsidR="00636335" w:rsidRPr="00D37759">
        <w:rPr>
          <w:rFonts w:asciiTheme="minorHAnsi" w:hAnsiTheme="minorHAnsi" w:cstheme="minorHAnsi"/>
          <w:sz w:val="22"/>
          <w:szCs w:val="22"/>
        </w:rPr>
        <w:t xml:space="preserve">. </w:t>
      </w:r>
      <w:r w:rsidR="00D37759">
        <w:rPr>
          <w:rFonts w:asciiTheme="minorHAnsi" w:hAnsiTheme="minorHAnsi" w:cstheme="minorHAnsi"/>
          <w:sz w:val="22"/>
          <w:szCs w:val="22"/>
        </w:rPr>
        <w:t xml:space="preserve">(10 pts, 15 min) </w:t>
      </w:r>
      <w:r w:rsidR="00636335" w:rsidRPr="00D37759">
        <w:rPr>
          <w:rFonts w:asciiTheme="minorHAnsi" w:hAnsiTheme="minorHAnsi" w:cstheme="minorHAnsi"/>
          <w:sz w:val="22"/>
          <w:szCs w:val="22"/>
        </w:rPr>
        <w:t>Your liver has been actively synthesizing proteins all morning; consequently, its ATP levels are lowered and AMP/ADP levels are high.  While crossing the street on your way to your favorite class, a fast moving car comes directly towards you.</w:t>
      </w:r>
    </w:p>
    <w:p w14:paraId="02276442" w14:textId="77777777" w:rsidR="00636335" w:rsidRPr="00D37759" w:rsidRDefault="00636335" w:rsidP="00636335">
      <w:pPr>
        <w:ind w:left="576" w:hanging="288"/>
        <w:jc w:val="both"/>
        <w:rPr>
          <w:rFonts w:asciiTheme="minorHAnsi" w:hAnsiTheme="minorHAnsi" w:cstheme="minorHAnsi"/>
          <w:sz w:val="22"/>
          <w:szCs w:val="22"/>
        </w:rPr>
      </w:pPr>
      <w:proofErr w:type="spellStart"/>
      <w:r w:rsidRPr="00D37759">
        <w:rPr>
          <w:rFonts w:asciiTheme="minorHAnsi" w:hAnsiTheme="minorHAnsi" w:cstheme="minorHAnsi"/>
          <w:sz w:val="22"/>
          <w:szCs w:val="22"/>
        </w:rPr>
        <w:t>i</w:t>
      </w:r>
      <w:proofErr w:type="spellEnd"/>
      <w:r w:rsidRPr="00D37759">
        <w:rPr>
          <w:rFonts w:asciiTheme="minorHAnsi" w:hAnsiTheme="minorHAnsi" w:cstheme="minorHAnsi"/>
          <w:sz w:val="22"/>
          <w:szCs w:val="22"/>
        </w:rPr>
        <w:t>) What hormone is released by your central nervous system, once you notice the car? (2 pts)</w:t>
      </w:r>
    </w:p>
    <w:p w14:paraId="3C3DE5AF" w14:textId="5F7F173B" w:rsidR="00636335" w:rsidRPr="00D37759" w:rsidRDefault="00636335" w:rsidP="00636335">
      <w:pPr>
        <w:ind w:left="576" w:hanging="288"/>
        <w:jc w:val="both"/>
        <w:rPr>
          <w:rFonts w:asciiTheme="minorHAnsi" w:hAnsiTheme="minorHAnsi" w:cstheme="minorHAnsi"/>
          <w:sz w:val="22"/>
          <w:szCs w:val="22"/>
        </w:rPr>
      </w:pPr>
      <w:r w:rsidRPr="00D37759">
        <w:rPr>
          <w:rFonts w:asciiTheme="minorHAnsi" w:hAnsiTheme="minorHAnsi" w:cstheme="minorHAnsi"/>
          <w:sz w:val="22"/>
          <w:szCs w:val="22"/>
        </w:rPr>
        <w:t>ii) What will happen to the phosphorylation state of proteins due to release of this hormone? (2pts)</w:t>
      </w:r>
    </w:p>
    <w:p w14:paraId="2DA14B26" w14:textId="5D22F020" w:rsidR="00636335" w:rsidRPr="00D37759" w:rsidRDefault="00636335" w:rsidP="00636335">
      <w:pPr>
        <w:ind w:left="576" w:hanging="288"/>
        <w:jc w:val="both"/>
        <w:rPr>
          <w:rFonts w:asciiTheme="minorHAnsi" w:hAnsiTheme="minorHAnsi" w:cstheme="minorHAnsi"/>
          <w:sz w:val="22"/>
          <w:szCs w:val="22"/>
        </w:rPr>
      </w:pPr>
      <w:r w:rsidRPr="00D37759">
        <w:rPr>
          <w:rFonts w:asciiTheme="minorHAnsi" w:hAnsiTheme="minorHAnsi" w:cstheme="minorHAnsi"/>
          <w:sz w:val="22"/>
          <w:szCs w:val="22"/>
        </w:rPr>
        <w:t>iii) How will the presence of this hormone affect the levels of F</w:t>
      </w:r>
      <w:r w:rsidR="00621770" w:rsidRPr="00D37759">
        <w:rPr>
          <w:rFonts w:asciiTheme="minorHAnsi" w:hAnsiTheme="minorHAnsi" w:cstheme="minorHAnsi"/>
          <w:sz w:val="22"/>
          <w:szCs w:val="22"/>
        </w:rPr>
        <w:t>2,6-P in the</w:t>
      </w:r>
      <w:r w:rsidRPr="00D37759">
        <w:rPr>
          <w:rFonts w:asciiTheme="minorHAnsi" w:hAnsiTheme="minorHAnsi" w:cstheme="minorHAnsi"/>
          <w:sz w:val="22"/>
          <w:szCs w:val="22"/>
        </w:rPr>
        <w:t xml:space="preserve"> cell? (Will </w:t>
      </w:r>
      <w:r w:rsidR="00AB2EEA" w:rsidRPr="00D37759">
        <w:rPr>
          <w:rFonts w:asciiTheme="minorHAnsi" w:hAnsiTheme="minorHAnsi" w:cstheme="minorHAnsi"/>
          <w:sz w:val="22"/>
          <w:szCs w:val="22"/>
        </w:rPr>
        <w:t>it</w:t>
      </w:r>
      <w:r w:rsidRPr="00D37759">
        <w:rPr>
          <w:rFonts w:asciiTheme="minorHAnsi" w:hAnsiTheme="minorHAnsi" w:cstheme="minorHAnsi"/>
          <w:sz w:val="22"/>
          <w:szCs w:val="22"/>
        </w:rPr>
        <w:t xml:space="preserve"> rise or fall?) (2 pts)</w:t>
      </w:r>
    </w:p>
    <w:p w14:paraId="1FCCA987" w14:textId="77777777" w:rsidR="00636335" w:rsidRPr="00D37759" w:rsidRDefault="00636335" w:rsidP="00636335">
      <w:pPr>
        <w:ind w:left="576" w:hanging="288"/>
        <w:jc w:val="both"/>
        <w:rPr>
          <w:rFonts w:asciiTheme="minorHAnsi" w:hAnsiTheme="minorHAnsi" w:cstheme="minorHAnsi"/>
          <w:sz w:val="22"/>
          <w:szCs w:val="22"/>
        </w:rPr>
      </w:pPr>
      <w:r w:rsidRPr="00D37759">
        <w:rPr>
          <w:rFonts w:asciiTheme="minorHAnsi" w:hAnsiTheme="minorHAnsi" w:cstheme="minorHAnsi"/>
          <w:sz w:val="22"/>
          <w:szCs w:val="22"/>
        </w:rPr>
        <w:t xml:space="preserve">iv) Under these conditions, will the liver produce glucose from glycogen, perform gluconeogenesis or both? Briefly justify your answer with reference to how these pathways are regulated – consider </w:t>
      </w:r>
      <w:r w:rsidRPr="00D37759">
        <w:rPr>
          <w:rFonts w:asciiTheme="minorHAnsi" w:hAnsiTheme="minorHAnsi" w:cstheme="minorHAnsi"/>
          <w:i/>
          <w:sz w:val="22"/>
          <w:szCs w:val="22"/>
        </w:rPr>
        <w:t>both</w:t>
      </w:r>
      <w:r w:rsidRPr="00D37759">
        <w:rPr>
          <w:rFonts w:asciiTheme="minorHAnsi" w:hAnsiTheme="minorHAnsi" w:cstheme="minorHAnsi"/>
          <w:sz w:val="22"/>
          <w:szCs w:val="22"/>
        </w:rPr>
        <w:t xml:space="preserve"> hormonal control, energy sensing, and the availability of ATP for biosynthesis. (4 pts)</w:t>
      </w:r>
    </w:p>
    <w:p w14:paraId="3D144596" w14:textId="63A26BC6" w:rsidR="00421B7A" w:rsidRPr="00D37759" w:rsidRDefault="00D37759" w:rsidP="00421B7A">
      <w:pPr>
        <w:pStyle w:val="BodyTextIndent"/>
        <w:spacing w:before="80" w:after="0"/>
        <w:ind w:left="216"/>
        <w:rPr>
          <w:rFonts w:asciiTheme="minorHAnsi" w:hAnsiTheme="minorHAnsi" w:cstheme="minorHAnsi"/>
          <w:szCs w:val="22"/>
        </w:rPr>
      </w:pPr>
      <w:r w:rsidRPr="00D37759">
        <w:rPr>
          <w:rFonts w:asciiTheme="minorHAnsi" w:hAnsiTheme="minorHAnsi" w:cstheme="minorHAnsi"/>
          <w:noProof/>
          <w:szCs w:val="22"/>
        </w:rPr>
        <w:drawing>
          <wp:anchor distT="0" distB="0" distL="91440" distR="0" simplePos="0" relativeHeight="251658752" behindDoc="0" locked="0" layoutInCell="1" allowOverlap="0" wp14:anchorId="4DBE5A77" wp14:editId="4DFF2543">
            <wp:simplePos x="0" y="0"/>
            <wp:positionH relativeFrom="column">
              <wp:posOffset>3220085</wp:posOffset>
            </wp:positionH>
            <wp:positionV relativeFrom="page">
              <wp:posOffset>2432685</wp:posOffset>
            </wp:positionV>
            <wp:extent cx="3006090" cy="1890395"/>
            <wp:effectExtent l="0" t="0" r="3810" b="0"/>
            <wp:wrapSquare wrapText="left"/>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164EA4" w:rsidRPr="00D37759">
        <w:rPr>
          <w:rFonts w:asciiTheme="minorHAnsi" w:hAnsiTheme="minorHAnsi" w:cstheme="minorHAnsi"/>
          <w:szCs w:val="22"/>
        </w:rPr>
        <w:t>2</w:t>
      </w:r>
      <w:r w:rsidR="00421B7A" w:rsidRPr="00D37759">
        <w:rPr>
          <w:rFonts w:asciiTheme="minorHAnsi" w:hAnsiTheme="minorHAnsi" w:cstheme="minorHAnsi"/>
          <w:szCs w:val="22"/>
        </w:rPr>
        <w:t xml:space="preserve">. </w:t>
      </w:r>
      <w:r>
        <w:rPr>
          <w:rFonts w:asciiTheme="minorHAnsi" w:hAnsiTheme="minorHAnsi" w:cstheme="minorHAnsi"/>
          <w:szCs w:val="22"/>
        </w:rPr>
        <w:t xml:space="preserve">(5 pts, 10 min) </w:t>
      </w:r>
      <w:r w:rsidR="00421B7A" w:rsidRPr="00D37759">
        <w:rPr>
          <w:rFonts w:asciiTheme="minorHAnsi" w:hAnsiTheme="minorHAnsi" w:cstheme="minorHAnsi"/>
          <w:szCs w:val="22"/>
        </w:rPr>
        <w:t xml:space="preserve">The diagram to the right shows </w:t>
      </w:r>
      <w:r w:rsidR="00421B7A" w:rsidRPr="00D37759">
        <w:rPr>
          <w:rFonts w:asciiTheme="minorHAnsi" w:hAnsiTheme="minorHAnsi" w:cstheme="minorHAnsi"/>
          <w:i/>
          <w:szCs w:val="22"/>
        </w:rPr>
        <w:t>actual</w:t>
      </w:r>
      <w:r w:rsidR="00421B7A" w:rsidRPr="00D37759">
        <w:rPr>
          <w:rFonts w:asciiTheme="minorHAnsi" w:hAnsiTheme="minorHAnsi" w:cstheme="minorHAnsi"/>
          <w:szCs w:val="22"/>
        </w:rPr>
        <w:t xml:space="preserve"> data for the recovery of muscle glycogen after exercise for an individual on either high-carbohydrate diet (solid line) or for an individual on a diet that consists of fat and protein (dashed line).  The recovery period starts at T=0 after an exercise period of 2 hours (from T = -2 to 0 hours). Explain, using your knowledge of the metabolic pathways discussed in this course, the reason for the slow (almost non-existent) recovery of muscle glycogen for the individual on the fat and protein diet.</w:t>
      </w:r>
    </w:p>
    <w:p w14:paraId="27BD81DD" w14:textId="0705C5CA" w:rsidR="00384F61" w:rsidRPr="00D37759" w:rsidRDefault="00164EA4" w:rsidP="00421B7A">
      <w:pPr>
        <w:pStyle w:val="BodyTextIndent"/>
        <w:spacing w:before="80" w:after="0"/>
        <w:ind w:left="216"/>
        <w:rPr>
          <w:rFonts w:asciiTheme="minorHAnsi" w:hAnsiTheme="minorHAnsi" w:cstheme="minorHAnsi"/>
          <w:szCs w:val="22"/>
        </w:rPr>
      </w:pPr>
      <w:r w:rsidRPr="00D37759">
        <w:rPr>
          <w:rFonts w:asciiTheme="minorHAnsi" w:hAnsiTheme="minorHAnsi" w:cstheme="minorHAnsi"/>
          <w:szCs w:val="22"/>
        </w:rPr>
        <w:t>3</w:t>
      </w:r>
      <w:r w:rsidR="00384F61" w:rsidRPr="00D37759">
        <w:rPr>
          <w:rFonts w:asciiTheme="minorHAnsi" w:hAnsiTheme="minorHAnsi" w:cstheme="minorHAnsi"/>
          <w:szCs w:val="22"/>
        </w:rPr>
        <w:t xml:space="preserve">. </w:t>
      </w:r>
      <w:r w:rsidR="00D37759">
        <w:rPr>
          <w:rFonts w:asciiTheme="minorHAnsi" w:hAnsiTheme="minorHAnsi" w:cstheme="minorHAnsi"/>
          <w:szCs w:val="22"/>
        </w:rPr>
        <w:t xml:space="preserve">(5 pts, 10 min) </w:t>
      </w:r>
      <w:r w:rsidR="00384F61" w:rsidRPr="00D37759">
        <w:rPr>
          <w:rFonts w:asciiTheme="minorHAnsi" w:hAnsiTheme="minorHAnsi" w:cstheme="minorHAnsi"/>
          <w:szCs w:val="22"/>
        </w:rPr>
        <w:t xml:space="preserve">Summarize the various roles of histidine in the </w:t>
      </w:r>
      <w:r w:rsidRPr="00D37759">
        <w:rPr>
          <w:rFonts w:asciiTheme="minorHAnsi" w:hAnsiTheme="minorHAnsi" w:cstheme="minorHAnsi"/>
          <w:szCs w:val="22"/>
        </w:rPr>
        <w:t>mechanism</w:t>
      </w:r>
      <w:r w:rsidR="00384F61" w:rsidRPr="00D37759">
        <w:rPr>
          <w:rFonts w:asciiTheme="minorHAnsi" w:hAnsiTheme="minorHAnsi" w:cstheme="minorHAnsi"/>
          <w:szCs w:val="22"/>
        </w:rPr>
        <w:t xml:space="preserve"> of serine proteases, citrate synthase, and </w:t>
      </w:r>
      <w:r w:rsidRPr="00D37759">
        <w:rPr>
          <w:rFonts w:asciiTheme="minorHAnsi" w:hAnsiTheme="minorHAnsi" w:cstheme="minorHAnsi"/>
          <w:szCs w:val="22"/>
        </w:rPr>
        <w:t xml:space="preserve">succinate </w:t>
      </w:r>
      <w:proofErr w:type="spellStart"/>
      <w:r w:rsidRPr="00D37759">
        <w:rPr>
          <w:rFonts w:asciiTheme="minorHAnsi" w:hAnsiTheme="minorHAnsi" w:cstheme="minorHAnsi"/>
          <w:szCs w:val="22"/>
        </w:rPr>
        <w:t>thiokinase</w:t>
      </w:r>
      <w:proofErr w:type="spellEnd"/>
      <w:r w:rsidRPr="00D37759">
        <w:rPr>
          <w:rFonts w:asciiTheme="minorHAnsi" w:hAnsiTheme="minorHAnsi" w:cstheme="minorHAnsi"/>
          <w:szCs w:val="22"/>
        </w:rPr>
        <w:t>.</w:t>
      </w:r>
    </w:p>
    <w:p w14:paraId="41578A76" w14:textId="57BECE49" w:rsidR="00D37759" w:rsidRPr="00D37759" w:rsidRDefault="00D37759" w:rsidP="00D37759">
      <w:pPr>
        <w:spacing w:before="120"/>
        <w:ind w:left="288" w:hanging="288"/>
        <w:jc w:val="both"/>
        <w:rPr>
          <w:rFonts w:asciiTheme="minorHAnsi" w:hAnsiTheme="minorHAnsi" w:cstheme="minorHAnsi"/>
          <w:sz w:val="22"/>
        </w:rPr>
      </w:pPr>
      <w:r>
        <w:rPr>
          <w:rFonts w:asciiTheme="minorHAnsi" w:hAnsiTheme="minorHAnsi" w:cstheme="minorHAnsi"/>
          <w:sz w:val="22"/>
        </w:rPr>
        <w:t>4</w:t>
      </w:r>
      <w:r w:rsidRPr="00D37759">
        <w:rPr>
          <w:rFonts w:asciiTheme="minorHAnsi" w:hAnsiTheme="minorHAnsi" w:cstheme="minorHAnsi"/>
          <w:sz w:val="22"/>
        </w:rPr>
        <w:t>. (6 pts, 20 min) The reaction catalyzed by Malate dehydrogenase in the TCA cycle has a standard free energy change (</w:t>
      </w:r>
      <w:r w:rsidRPr="00D37759">
        <w:rPr>
          <w:rFonts w:asciiTheme="minorHAnsi" w:hAnsiTheme="minorHAnsi" w:cstheme="minorHAnsi"/>
          <w:sz w:val="22"/>
        </w:rPr>
        <w:sym w:font="Symbol" w:char="F044"/>
      </w:r>
      <w:r w:rsidRPr="00D37759">
        <w:rPr>
          <w:rFonts w:asciiTheme="minorHAnsi" w:hAnsiTheme="minorHAnsi" w:cstheme="minorHAnsi"/>
          <w:sz w:val="22"/>
        </w:rPr>
        <w:t>G</w:t>
      </w:r>
      <w:r w:rsidRPr="00D37759">
        <w:rPr>
          <w:rFonts w:asciiTheme="minorHAnsi" w:hAnsiTheme="minorHAnsi" w:cstheme="minorHAnsi"/>
          <w:sz w:val="22"/>
          <w:vertAlign w:val="superscript"/>
        </w:rPr>
        <w:t>o</w:t>
      </w:r>
      <w:r w:rsidRPr="00D37759">
        <w:rPr>
          <w:rFonts w:asciiTheme="minorHAnsi" w:hAnsiTheme="minorHAnsi" w:cstheme="minorHAnsi"/>
          <w:sz w:val="22"/>
        </w:rPr>
        <w:t xml:space="preserve">) of +29 kJ/mol, but a Gibbs free energy of </w:t>
      </w:r>
      <w:r w:rsidR="008C12C9">
        <w:rPr>
          <w:rFonts w:asciiTheme="minorHAnsi" w:hAnsiTheme="minorHAnsi" w:cstheme="minorHAnsi"/>
          <w:sz w:val="22"/>
        </w:rPr>
        <w:t>~</w:t>
      </w:r>
      <w:r w:rsidRPr="00D37759">
        <w:rPr>
          <w:rFonts w:asciiTheme="minorHAnsi" w:hAnsiTheme="minorHAnsi" w:cstheme="minorHAnsi"/>
          <w:sz w:val="22"/>
        </w:rPr>
        <w:t>0 kJ/mol during the normal operation of the TCA cycle.</w:t>
      </w:r>
    </w:p>
    <w:p w14:paraId="56679E44" w14:textId="77777777" w:rsidR="00D37759" w:rsidRPr="00D37759" w:rsidRDefault="00D37759" w:rsidP="00D37759">
      <w:pPr>
        <w:spacing w:before="20"/>
        <w:ind w:left="504" w:hanging="216"/>
        <w:jc w:val="both"/>
        <w:rPr>
          <w:rFonts w:asciiTheme="minorHAnsi" w:hAnsiTheme="minorHAnsi" w:cstheme="minorHAnsi"/>
          <w:sz w:val="22"/>
        </w:rPr>
      </w:pPr>
      <w:r w:rsidRPr="00D37759">
        <w:rPr>
          <w:rFonts w:asciiTheme="minorHAnsi" w:hAnsiTheme="minorHAnsi" w:cstheme="minorHAnsi"/>
          <w:sz w:val="22"/>
        </w:rPr>
        <w:t>a) Given that the concentration of malate, NAD</w:t>
      </w:r>
      <w:r w:rsidRPr="00D37759">
        <w:rPr>
          <w:rFonts w:asciiTheme="minorHAnsi" w:hAnsiTheme="minorHAnsi" w:cstheme="minorHAnsi"/>
          <w:sz w:val="22"/>
          <w:vertAlign w:val="superscript"/>
        </w:rPr>
        <w:t>+</w:t>
      </w:r>
      <w:r w:rsidRPr="00D37759">
        <w:rPr>
          <w:rFonts w:asciiTheme="minorHAnsi" w:hAnsiTheme="minorHAnsi" w:cstheme="minorHAnsi"/>
          <w:sz w:val="22"/>
        </w:rPr>
        <w:t xml:space="preserve">, and NADH are 100 </w:t>
      </w:r>
      <w:r w:rsidRPr="00D37759">
        <w:rPr>
          <w:rFonts w:asciiTheme="minorHAnsi" w:hAnsiTheme="minorHAnsi" w:cstheme="minorHAnsi"/>
          <w:sz w:val="22"/>
        </w:rPr>
        <w:sym w:font="Symbol" w:char="F06D"/>
      </w:r>
      <w:r w:rsidRPr="00D37759">
        <w:rPr>
          <w:rFonts w:asciiTheme="minorHAnsi" w:hAnsiTheme="minorHAnsi" w:cstheme="minorHAnsi"/>
          <w:sz w:val="22"/>
        </w:rPr>
        <w:t>M in the cell, calculate the concentration of oxaloacetate during the normal operation of the TCA cycle (4 pts).  Assume T=300K. For the reaction A+B</w:t>
      </w:r>
      <w:r w:rsidRPr="00D37759">
        <w:rPr>
          <w:rFonts w:asciiTheme="minorHAnsi" w:hAnsiTheme="minorHAnsi" w:cstheme="minorHAnsi"/>
          <w:sz w:val="22"/>
        </w:rPr>
        <w:sym w:font="Symbol" w:char="F0AE"/>
      </w:r>
      <w:r w:rsidRPr="00D37759">
        <w:rPr>
          <w:rFonts w:asciiTheme="minorHAnsi" w:hAnsiTheme="minorHAnsi" w:cstheme="minorHAnsi"/>
          <w:sz w:val="22"/>
        </w:rPr>
        <w:t xml:space="preserve">C+D:  </w:t>
      </w:r>
      <m:oMath>
        <m:r>
          <w:rPr>
            <w:rFonts w:ascii="Cambria Math" w:hAnsi="Cambria Math" w:cstheme="minorHAnsi"/>
            <w:sz w:val="22"/>
          </w:rPr>
          <m:t>∆G=</m:t>
        </m:r>
        <m:sSup>
          <m:sSupPr>
            <m:ctrlPr>
              <w:rPr>
                <w:rFonts w:ascii="Cambria Math" w:hAnsi="Cambria Math" w:cstheme="minorHAnsi"/>
                <w:i/>
                <w:sz w:val="22"/>
              </w:rPr>
            </m:ctrlPr>
          </m:sSupPr>
          <m:e>
            <m:r>
              <w:rPr>
                <w:rFonts w:ascii="Cambria Math" w:hAnsi="Cambria Math" w:cstheme="minorHAnsi"/>
                <w:sz w:val="22"/>
              </w:rPr>
              <m:t>∆G</m:t>
            </m:r>
          </m:e>
          <m:sup>
            <m:r>
              <w:rPr>
                <w:rFonts w:ascii="Cambria Math" w:hAnsi="Cambria Math" w:cstheme="minorHAnsi"/>
                <w:sz w:val="22"/>
              </w:rPr>
              <m:t>0</m:t>
            </m:r>
          </m:sup>
        </m:sSup>
        <m:r>
          <w:rPr>
            <w:rFonts w:ascii="Cambria Math" w:hAnsi="Cambria Math" w:cstheme="minorHAnsi"/>
            <w:sz w:val="22"/>
          </w:rPr>
          <m:t>+RTln</m:t>
        </m:r>
        <m:d>
          <m:dPr>
            <m:begChr m:val="["/>
            <m:endChr m:val="]"/>
            <m:ctrlPr>
              <w:rPr>
                <w:rFonts w:ascii="Cambria Math" w:hAnsi="Cambria Math" w:cstheme="minorHAnsi"/>
                <w:i/>
                <w:sz w:val="22"/>
              </w:rPr>
            </m:ctrlPr>
          </m:dPr>
          <m:e>
            <m:r>
              <w:rPr>
                <w:rFonts w:ascii="Cambria Math" w:hAnsi="Cambria Math" w:cstheme="minorHAnsi"/>
                <w:sz w:val="22"/>
              </w:rPr>
              <m:t>C</m:t>
            </m:r>
          </m:e>
        </m:d>
        <m:d>
          <m:dPr>
            <m:begChr m:val="["/>
            <m:endChr m:val="]"/>
            <m:ctrlPr>
              <w:rPr>
                <w:rFonts w:ascii="Cambria Math" w:hAnsi="Cambria Math" w:cstheme="minorHAnsi"/>
                <w:i/>
                <w:sz w:val="22"/>
              </w:rPr>
            </m:ctrlPr>
          </m:dPr>
          <m:e>
            <m:r>
              <w:rPr>
                <w:rFonts w:ascii="Cambria Math" w:hAnsi="Cambria Math" w:cstheme="minorHAnsi"/>
                <w:sz w:val="22"/>
              </w:rPr>
              <m:t>D</m:t>
            </m:r>
          </m:e>
        </m:d>
        <m:r>
          <w:rPr>
            <w:rFonts w:ascii="Cambria Math" w:hAnsi="Cambria Math" w:cstheme="minorHAnsi"/>
            <w:sz w:val="22"/>
          </w:rPr>
          <m:t>/[A][B]</m:t>
        </m:r>
      </m:oMath>
    </w:p>
    <w:p w14:paraId="602F88E4" w14:textId="77777777" w:rsidR="00D37759" w:rsidRPr="00D37759" w:rsidRDefault="00D37759" w:rsidP="00D37759">
      <w:pPr>
        <w:spacing w:before="20"/>
        <w:ind w:left="504" w:hanging="216"/>
        <w:jc w:val="both"/>
        <w:rPr>
          <w:rFonts w:asciiTheme="minorHAnsi" w:hAnsiTheme="minorHAnsi" w:cstheme="minorHAnsi"/>
          <w:sz w:val="22"/>
        </w:rPr>
      </w:pPr>
      <w:r w:rsidRPr="00D37759">
        <w:rPr>
          <w:rFonts w:asciiTheme="minorHAnsi" w:hAnsiTheme="minorHAnsi" w:cstheme="minorHAnsi"/>
          <w:sz w:val="22"/>
        </w:rPr>
        <w:t>b) Explain how the Gibbs free energy is reduced to zero for this reaction; is this accomplished by either direct or indirect coupling? (2 pts)</w:t>
      </w:r>
    </w:p>
    <w:p w14:paraId="1AA38C24" w14:textId="43413B55" w:rsidR="00D37759" w:rsidRPr="00D37759" w:rsidRDefault="00D37759" w:rsidP="00D37759">
      <w:pPr>
        <w:pStyle w:val="BodyTextIndent2"/>
        <w:spacing w:before="120"/>
        <w:ind w:left="216" w:hanging="216"/>
        <w:rPr>
          <w:rFonts w:asciiTheme="minorHAnsi" w:hAnsiTheme="minorHAnsi" w:cstheme="minorHAnsi"/>
        </w:rPr>
      </w:pPr>
      <w:r>
        <w:rPr>
          <w:rFonts w:asciiTheme="minorHAnsi" w:hAnsiTheme="minorHAnsi" w:cstheme="minorHAnsi"/>
        </w:rPr>
        <w:t>5</w:t>
      </w:r>
      <w:r w:rsidRPr="00D37759">
        <w:rPr>
          <w:rFonts w:asciiTheme="minorHAnsi" w:hAnsiTheme="minorHAnsi" w:cstheme="minorHAnsi"/>
        </w:rPr>
        <w:t>. (5 pts, 5 min) A reaction that is identical in chemistry to that of pyruvate dehydrogenase occurs in the TCA cycle.  Identify the name of the enzyme that catalyzes this reaction and show that the chemical changes are identical to those catalyzed by pyruvate dehydrogenase.</w:t>
      </w:r>
    </w:p>
    <w:p w14:paraId="199C84B4" w14:textId="758031DE" w:rsidR="00164EA4" w:rsidRPr="00D37759" w:rsidRDefault="00D37759" w:rsidP="00164EA4">
      <w:pPr>
        <w:pStyle w:val="BodyTextIndent2"/>
        <w:tabs>
          <w:tab w:val="left" w:pos="6541"/>
        </w:tabs>
        <w:spacing w:before="80" w:after="0"/>
        <w:ind w:left="216" w:hanging="216"/>
        <w:rPr>
          <w:rFonts w:asciiTheme="minorHAnsi" w:hAnsiTheme="minorHAnsi" w:cstheme="minorHAnsi"/>
          <w:szCs w:val="22"/>
        </w:rPr>
      </w:pPr>
      <w:r>
        <w:rPr>
          <w:rFonts w:asciiTheme="minorHAnsi" w:hAnsiTheme="minorHAnsi" w:cstheme="minorHAnsi"/>
          <w:szCs w:val="22"/>
        </w:rPr>
        <w:t>6</w:t>
      </w:r>
      <w:r w:rsidR="00164EA4" w:rsidRPr="00D37759">
        <w:rPr>
          <w:rFonts w:asciiTheme="minorHAnsi" w:hAnsiTheme="minorHAnsi" w:cstheme="minorHAnsi"/>
          <w:szCs w:val="22"/>
        </w:rPr>
        <w:t xml:space="preserve">. </w:t>
      </w:r>
      <w:r>
        <w:rPr>
          <w:rFonts w:asciiTheme="minorHAnsi" w:hAnsiTheme="minorHAnsi" w:cstheme="minorHAnsi"/>
          <w:szCs w:val="22"/>
        </w:rPr>
        <w:t xml:space="preserve">(10 pts, 10 min) </w:t>
      </w:r>
      <w:r w:rsidR="00164EA4" w:rsidRPr="00D37759">
        <w:rPr>
          <w:rFonts w:asciiTheme="minorHAnsi" w:hAnsiTheme="minorHAnsi" w:cstheme="minorHAnsi"/>
          <w:szCs w:val="22"/>
        </w:rPr>
        <w:t xml:space="preserve">The concentration of chloride in seawater is 0.6 M.  An </w:t>
      </w:r>
      <w:bookmarkStart w:id="0" w:name="_GoBack"/>
      <w:bookmarkEnd w:id="0"/>
      <w:r w:rsidR="008C12C9" w:rsidRPr="00D37759">
        <w:rPr>
          <w:rFonts w:asciiTheme="minorHAnsi" w:hAnsiTheme="minorHAnsi" w:cstheme="minorHAnsi"/>
          <w:szCs w:val="22"/>
        </w:rPr>
        <w:t>ocean</w:t>
      </w:r>
      <w:r w:rsidR="008C12C9">
        <w:rPr>
          <w:rFonts w:asciiTheme="minorHAnsi" w:hAnsiTheme="minorHAnsi" w:cstheme="minorHAnsi"/>
          <w:szCs w:val="22"/>
        </w:rPr>
        <w:t>-</w:t>
      </w:r>
      <w:r w:rsidR="008C12C9" w:rsidRPr="00D37759">
        <w:rPr>
          <w:rFonts w:asciiTheme="minorHAnsi" w:hAnsiTheme="minorHAnsi" w:cstheme="minorHAnsi"/>
          <w:szCs w:val="22"/>
        </w:rPr>
        <w:t>dwelling bacterium</w:t>
      </w:r>
      <w:r w:rsidR="00164EA4" w:rsidRPr="00D37759">
        <w:rPr>
          <w:rFonts w:asciiTheme="minorHAnsi" w:hAnsiTheme="minorHAnsi" w:cstheme="minorHAnsi"/>
          <w:szCs w:val="22"/>
        </w:rPr>
        <w:t xml:space="preserve"> uses chloride transport to generate ATP.  What is the minimum number of chloride ions that would have to be moved through its ATP synthase to generate ATP?  You can assume the intracellular concentration of chloride is 0.1 M and that the voltage difference across its membrane is 0.06 V, inside positive, and the temperature is 300K.</w:t>
      </w:r>
    </w:p>
    <w:p w14:paraId="12B074E3" w14:textId="3C9E4973" w:rsidR="001D0CA9" w:rsidRPr="00D37759" w:rsidRDefault="00D37759" w:rsidP="001D0CA9">
      <w:pPr>
        <w:pStyle w:val="BodyTextIndent"/>
        <w:spacing w:before="80"/>
        <w:ind w:left="216"/>
        <w:rPr>
          <w:rFonts w:asciiTheme="minorHAnsi" w:hAnsiTheme="minorHAnsi" w:cstheme="minorHAnsi"/>
        </w:rPr>
      </w:pPr>
      <w:r>
        <w:rPr>
          <w:rFonts w:asciiTheme="minorHAnsi" w:hAnsiTheme="minorHAnsi" w:cstheme="minorHAnsi"/>
          <w:szCs w:val="22"/>
        </w:rPr>
        <w:t>7</w:t>
      </w:r>
      <w:r w:rsidR="001D0CA9" w:rsidRPr="00D37759">
        <w:rPr>
          <w:rFonts w:asciiTheme="minorHAnsi" w:hAnsiTheme="minorHAnsi" w:cstheme="minorHAnsi"/>
          <w:szCs w:val="22"/>
        </w:rPr>
        <w:t xml:space="preserve">. </w:t>
      </w:r>
      <w:r>
        <w:rPr>
          <w:rFonts w:asciiTheme="minorHAnsi" w:hAnsiTheme="minorHAnsi" w:cstheme="minorHAnsi"/>
          <w:szCs w:val="22"/>
        </w:rPr>
        <w:t xml:space="preserve">(4 pts, 10 min) </w:t>
      </w:r>
      <w:r w:rsidR="001D0CA9" w:rsidRPr="00D37759">
        <w:rPr>
          <w:rFonts w:asciiTheme="minorHAnsi" w:hAnsiTheme="minorHAnsi" w:cstheme="minorHAnsi"/>
        </w:rPr>
        <w:t xml:space="preserve">View the </w:t>
      </w:r>
      <w:proofErr w:type="spellStart"/>
      <w:r w:rsidR="001D0CA9" w:rsidRPr="00D37759">
        <w:rPr>
          <w:rFonts w:asciiTheme="minorHAnsi" w:hAnsiTheme="minorHAnsi" w:cstheme="minorHAnsi"/>
        </w:rPr>
        <w:t>Jmol</w:t>
      </w:r>
      <w:proofErr w:type="spellEnd"/>
      <w:r w:rsidR="001D0CA9" w:rsidRPr="00D37759">
        <w:rPr>
          <w:rFonts w:asciiTheme="minorHAnsi" w:hAnsiTheme="minorHAnsi" w:cstheme="minorHAnsi"/>
        </w:rPr>
        <w:t xml:space="preserve"> page for succinate dehydrogenase and answer the following questions:</w:t>
      </w:r>
    </w:p>
    <w:p w14:paraId="1680EED3" w14:textId="77777777" w:rsidR="001D0CA9" w:rsidRPr="00D37759" w:rsidRDefault="001D0CA9" w:rsidP="001D0CA9">
      <w:pPr>
        <w:pStyle w:val="BodyTextIndent"/>
        <w:rPr>
          <w:rFonts w:asciiTheme="minorHAnsi" w:hAnsiTheme="minorHAnsi" w:cstheme="minorHAnsi"/>
        </w:rPr>
      </w:pPr>
      <w:proofErr w:type="spellStart"/>
      <w:r w:rsidRPr="00D37759">
        <w:rPr>
          <w:rFonts w:asciiTheme="minorHAnsi" w:hAnsiTheme="minorHAnsi" w:cstheme="minorHAnsi"/>
        </w:rPr>
        <w:t>i</w:t>
      </w:r>
      <w:proofErr w:type="spellEnd"/>
      <w:r w:rsidRPr="00D37759">
        <w:rPr>
          <w:rFonts w:asciiTheme="minorHAnsi" w:hAnsiTheme="minorHAnsi" w:cstheme="minorHAnsi"/>
        </w:rPr>
        <w:t>) Is the FAD buried in the enzyme or exposed on its surface? Based on your answer, is it likely that FADH</w:t>
      </w:r>
      <w:r w:rsidRPr="00D37759">
        <w:rPr>
          <w:rFonts w:asciiTheme="minorHAnsi" w:hAnsiTheme="minorHAnsi" w:cstheme="minorHAnsi"/>
          <w:vertAlign w:val="subscript"/>
        </w:rPr>
        <w:t>2</w:t>
      </w:r>
      <w:r w:rsidRPr="00D37759">
        <w:rPr>
          <w:rFonts w:asciiTheme="minorHAnsi" w:hAnsiTheme="minorHAnsi" w:cstheme="minorHAnsi"/>
        </w:rPr>
        <w:t xml:space="preserve"> will be released after oxidation of succinate, or remain bound to the enzyme?</w:t>
      </w:r>
    </w:p>
    <w:p w14:paraId="4AF73B37" w14:textId="00E3ADEA" w:rsidR="001D0CA9" w:rsidRPr="00D37759" w:rsidRDefault="001D0CA9" w:rsidP="001D0CA9">
      <w:pPr>
        <w:pStyle w:val="BodyTextIndent"/>
        <w:rPr>
          <w:rFonts w:asciiTheme="minorHAnsi" w:hAnsiTheme="minorHAnsi" w:cstheme="minorHAnsi"/>
        </w:rPr>
      </w:pPr>
      <w:r w:rsidRPr="00D37759">
        <w:rPr>
          <w:rFonts w:asciiTheme="minorHAnsi" w:hAnsiTheme="minorHAnsi" w:cstheme="minorHAnsi"/>
        </w:rPr>
        <w:t>ii) Describe, or sketch, the electron transfer path from succinate to coenzyme Q What happens to the electrons received from succinate on the way to coenzyme Q?</w:t>
      </w:r>
    </w:p>
    <w:p w14:paraId="399397C1" w14:textId="20842CE9" w:rsidR="00164EA4" w:rsidRPr="00D37759" w:rsidRDefault="00D37759" w:rsidP="00D37759">
      <w:pPr>
        <w:pStyle w:val="BodyTextIndent2"/>
        <w:spacing w:before="80" w:after="0"/>
        <w:rPr>
          <w:rFonts w:asciiTheme="minorHAnsi" w:hAnsiTheme="minorHAnsi" w:cstheme="minorHAnsi"/>
          <w:szCs w:val="22"/>
        </w:rPr>
      </w:pPr>
      <w:r>
        <w:rPr>
          <w:rFonts w:asciiTheme="minorHAnsi" w:hAnsiTheme="minorHAnsi" w:cstheme="minorHAnsi"/>
          <w:szCs w:val="22"/>
        </w:rPr>
        <w:t>8</w:t>
      </w:r>
      <w:r w:rsidR="00164EA4" w:rsidRPr="00D37759">
        <w:rPr>
          <w:rFonts w:asciiTheme="minorHAnsi" w:hAnsiTheme="minorHAnsi" w:cstheme="minorHAnsi"/>
          <w:szCs w:val="22"/>
        </w:rPr>
        <w:t>. (</w:t>
      </w:r>
      <w:r>
        <w:rPr>
          <w:rFonts w:asciiTheme="minorHAnsi" w:hAnsiTheme="minorHAnsi" w:cstheme="minorHAnsi"/>
          <w:szCs w:val="22"/>
        </w:rPr>
        <w:t xml:space="preserve">6 pts, 10 min) </w:t>
      </w:r>
      <w:r w:rsidR="00164EA4" w:rsidRPr="00D37759">
        <w:rPr>
          <w:rFonts w:asciiTheme="minorHAnsi" w:hAnsiTheme="minorHAnsi" w:cstheme="minorHAnsi"/>
          <w:szCs w:val="22"/>
        </w:rPr>
        <w:t>Ethanol can be produced from glucose by yeast (and other organisms) under conditions of low oxygen, a process referred to as fermentation.  How efficient is the process of ethanol production, i.e. how much of the original energy content in glucose is retained in the ethanol?</w:t>
      </w:r>
      <w:r>
        <w:rPr>
          <w:rFonts w:asciiTheme="minorHAnsi" w:hAnsiTheme="minorHAnsi" w:cstheme="minorHAnsi"/>
          <w:szCs w:val="22"/>
        </w:rPr>
        <w:t xml:space="preserve">  Hint.  Compare the energy released going from glucose to CO</w:t>
      </w:r>
      <w:r>
        <w:rPr>
          <w:rFonts w:asciiTheme="minorHAnsi" w:hAnsiTheme="minorHAnsi" w:cstheme="minorHAnsi"/>
          <w:szCs w:val="22"/>
          <w:vertAlign w:val="subscript"/>
        </w:rPr>
        <w:t>2</w:t>
      </w:r>
      <w:r>
        <w:rPr>
          <w:rFonts w:asciiTheme="minorHAnsi" w:hAnsiTheme="minorHAnsi" w:cstheme="minorHAnsi"/>
          <w:szCs w:val="22"/>
        </w:rPr>
        <w:t xml:space="preserve"> versus the energy released going from ethanol to CO</w:t>
      </w:r>
      <w:r>
        <w:rPr>
          <w:rFonts w:asciiTheme="minorHAnsi" w:hAnsiTheme="minorHAnsi" w:cstheme="minorHAnsi"/>
          <w:szCs w:val="22"/>
          <w:vertAlign w:val="subscript"/>
        </w:rPr>
        <w:t>2</w:t>
      </w:r>
      <w:r>
        <w:rPr>
          <w:rFonts w:asciiTheme="minorHAnsi" w:hAnsiTheme="minorHAnsi" w:cstheme="minorHAnsi"/>
          <w:szCs w:val="22"/>
        </w:rPr>
        <w:t>, assuming that the pathway to ethanol is reversible.</w:t>
      </w:r>
    </w:p>
    <w:sectPr w:rsidR="00164EA4" w:rsidRPr="00D37759" w:rsidSect="008C12C9">
      <w:headerReference w:type="default" r:id="rId9"/>
      <w:footerReference w:type="even" r:id="rId10"/>
      <w:footerReference w:type="default" r:id="rId11"/>
      <w:type w:val="continuous"/>
      <w:pgSz w:w="11906" w:h="16838" w:code="9"/>
      <w:pgMar w:top="1152" w:right="1152" w:bottom="1152" w:left="1152"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C46D7" w14:textId="77777777" w:rsidR="00890B5D" w:rsidRDefault="00890B5D">
      <w:r>
        <w:separator/>
      </w:r>
    </w:p>
  </w:endnote>
  <w:endnote w:type="continuationSeparator" w:id="0">
    <w:p w14:paraId="22F21A96" w14:textId="77777777" w:rsidR="00890B5D" w:rsidRDefault="0089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A2A9" w14:textId="77777777" w:rsidR="00ED4480" w:rsidRDefault="00C53A75">
    <w:pPr>
      <w:pStyle w:val="Footer"/>
      <w:framePr w:wrap="around" w:vAnchor="text" w:hAnchor="margin" w:xAlign="right" w:y="1"/>
      <w:rPr>
        <w:rStyle w:val="PageNumber"/>
      </w:rPr>
    </w:pPr>
    <w:r>
      <w:rPr>
        <w:rStyle w:val="PageNumber"/>
      </w:rPr>
      <w:fldChar w:fldCharType="begin"/>
    </w:r>
    <w:r w:rsidR="00ED4480">
      <w:rPr>
        <w:rStyle w:val="PageNumber"/>
      </w:rPr>
      <w:instrText xml:space="preserve">PAGE  </w:instrText>
    </w:r>
    <w:r>
      <w:rPr>
        <w:rStyle w:val="PageNumber"/>
      </w:rPr>
      <w:fldChar w:fldCharType="separate"/>
    </w:r>
    <w:r w:rsidR="00ED4480">
      <w:rPr>
        <w:rStyle w:val="PageNumber"/>
        <w:noProof/>
      </w:rPr>
      <w:t>1</w:t>
    </w:r>
    <w:r>
      <w:rPr>
        <w:rStyle w:val="PageNumber"/>
      </w:rPr>
      <w:fldChar w:fldCharType="end"/>
    </w:r>
  </w:p>
  <w:p w14:paraId="2C3B1CBD" w14:textId="77777777" w:rsidR="00ED4480" w:rsidRDefault="00ED44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FD58" w14:textId="77777777" w:rsidR="00ED4480" w:rsidRDefault="00ED44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81333" w14:textId="77777777" w:rsidR="00890B5D" w:rsidRDefault="00890B5D">
      <w:r>
        <w:separator/>
      </w:r>
    </w:p>
  </w:footnote>
  <w:footnote w:type="continuationSeparator" w:id="0">
    <w:p w14:paraId="54845890" w14:textId="77777777" w:rsidR="00890B5D" w:rsidRDefault="0089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D626" w14:textId="50FF512D" w:rsidR="00ED4480" w:rsidRDefault="00ED4480">
    <w:pPr>
      <w:pStyle w:val="Header"/>
      <w:rPr>
        <w:rFonts w:ascii="Times New Roman" w:hAnsi="Times New Roman"/>
        <w:i/>
        <w:sz w:val="20"/>
      </w:rPr>
    </w:pPr>
    <w:r>
      <w:rPr>
        <w:rFonts w:ascii="Times New Roman" w:hAnsi="Times New Roman"/>
        <w:i/>
        <w:sz w:val="20"/>
      </w:rPr>
      <w:t xml:space="preserve">Biochemistry </w:t>
    </w:r>
    <w:r w:rsidR="004C6B98">
      <w:rPr>
        <w:rFonts w:ascii="Times New Roman" w:hAnsi="Times New Roman"/>
        <w:i/>
        <w:sz w:val="20"/>
      </w:rPr>
      <w:t>I</w:t>
    </w:r>
    <w:r w:rsidR="004C6B98">
      <w:rPr>
        <w:rFonts w:ascii="Times New Roman" w:hAnsi="Times New Roman"/>
        <w:i/>
        <w:sz w:val="20"/>
      </w:rPr>
      <w:tab/>
      <w:t>Problem Set 1</w:t>
    </w:r>
    <w:r w:rsidR="00421B7A">
      <w:rPr>
        <w:rFonts w:ascii="Times New Roman" w:hAnsi="Times New Roman"/>
        <w:i/>
        <w:sz w:val="20"/>
      </w:rPr>
      <w:t>0</w:t>
    </w:r>
    <w:r w:rsidR="004C6B98">
      <w:rPr>
        <w:rFonts w:ascii="Times New Roman" w:hAnsi="Times New Roman"/>
        <w:i/>
        <w:sz w:val="20"/>
      </w:rPr>
      <w:tab/>
    </w:r>
    <w:r w:rsidR="00421B7A">
      <w:rPr>
        <w:rFonts w:ascii="Times New Roman" w:hAnsi="Times New Roman"/>
        <w:i/>
        <w:sz w:val="20"/>
      </w:rPr>
      <w:t xml:space="preserve">November </w:t>
    </w:r>
    <w:r w:rsidR="00A746EF">
      <w:rPr>
        <w:rFonts w:ascii="Times New Roman" w:hAnsi="Times New Roman"/>
        <w:i/>
        <w:sz w:val="20"/>
      </w:rPr>
      <w:t>17</w:t>
    </w:r>
    <w:r w:rsidR="00421B7A">
      <w:rPr>
        <w:rFonts w:ascii="Times New Roman" w:hAnsi="Times New Roman"/>
        <w:i/>
        <w:sz w:val="20"/>
      </w:rPr>
      <w:t>,</w:t>
    </w:r>
    <w:r w:rsidR="004C6B98">
      <w:rPr>
        <w:rFonts w:ascii="Times New Roman" w:hAnsi="Times New Roman"/>
        <w:i/>
        <w:sz w:val="20"/>
      </w:rPr>
      <w:t xml:space="preserve"> 201</w:t>
    </w:r>
    <w:r w:rsidR="00A746EF">
      <w:rPr>
        <w:rFonts w:ascii="Times New Roman" w:hAnsi="Times New Roman"/>
        <w:i/>
        <w:sz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12160C8C"/>
    <w:multiLevelType w:val="hybridMultilevel"/>
    <w:tmpl w:val="3662A232"/>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 w15:restartNumberingAfterBreak="0">
    <w:nsid w:val="21B25EE2"/>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2A594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5A756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0E32F03"/>
    <w:multiLevelType w:val="singleLevel"/>
    <w:tmpl w:val="3B7C9592"/>
    <w:lvl w:ilvl="0">
      <w:start w:val="1"/>
      <w:numFmt w:val="lowerRoman"/>
      <w:lvlText w:val="%1)"/>
      <w:lvlJc w:val="left"/>
      <w:pPr>
        <w:tabs>
          <w:tab w:val="num" w:pos="720"/>
        </w:tabs>
        <w:ind w:left="720" w:hanging="720"/>
      </w:pPr>
      <w:rPr>
        <w:rFonts w:hint="default"/>
      </w:rPr>
    </w:lvl>
  </w:abstractNum>
  <w:abstractNum w:abstractNumId="6" w15:restartNumberingAfterBreak="0">
    <w:nsid w:val="61D61016"/>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7A961635"/>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4"/>
  </w:num>
  <w:num w:numId="3">
    <w:abstractNumId w:val="6"/>
  </w:num>
  <w:num w:numId="4">
    <w:abstractNumId w:val="5"/>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EA"/>
    <w:rsid w:val="00026ACD"/>
    <w:rsid w:val="00051ED3"/>
    <w:rsid w:val="000624EA"/>
    <w:rsid w:val="000806AC"/>
    <w:rsid w:val="00085DC2"/>
    <w:rsid w:val="0009288E"/>
    <w:rsid w:val="000A50D8"/>
    <w:rsid w:val="000C75C0"/>
    <w:rsid w:val="00106257"/>
    <w:rsid w:val="00107164"/>
    <w:rsid w:val="00125449"/>
    <w:rsid w:val="00164EA4"/>
    <w:rsid w:val="0016599E"/>
    <w:rsid w:val="001D0436"/>
    <w:rsid w:val="001D0CA9"/>
    <w:rsid w:val="001E4F66"/>
    <w:rsid w:val="00245092"/>
    <w:rsid w:val="00285AD8"/>
    <w:rsid w:val="002D70FB"/>
    <w:rsid w:val="002F36C4"/>
    <w:rsid w:val="003776D8"/>
    <w:rsid w:val="00384F61"/>
    <w:rsid w:val="00396BBA"/>
    <w:rsid w:val="00396BC6"/>
    <w:rsid w:val="003B37B3"/>
    <w:rsid w:val="003C2331"/>
    <w:rsid w:val="004108A7"/>
    <w:rsid w:val="00421B7A"/>
    <w:rsid w:val="00437749"/>
    <w:rsid w:val="00463C38"/>
    <w:rsid w:val="0046659A"/>
    <w:rsid w:val="0049403C"/>
    <w:rsid w:val="004B2C1B"/>
    <w:rsid w:val="004C5988"/>
    <w:rsid w:val="004C6B98"/>
    <w:rsid w:val="005241E1"/>
    <w:rsid w:val="00567E80"/>
    <w:rsid w:val="0061707B"/>
    <w:rsid w:val="00621770"/>
    <w:rsid w:val="00636335"/>
    <w:rsid w:val="00640ABA"/>
    <w:rsid w:val="00655285"/>
    <w:rsid w:val="0067045A"/>
    <w:rsid w:val="006B42AF"/>
    <w:rsid w:val="006C246D"/>
    <w:rsid w:val="006C2F92"/>
    <w:rsid w:val="006D54BA"/>
    <w:rsid w:val="006E79EE"/>
    <w:rsid w:val="00717B7F"/>
    <w:rsid w:val="007279B5"/>
    <w:rsid w:val="00755B2F"/>
    <w:rsid w:val="00775030"/>
    <w:rsid w:val="00796473"/>
    <w:rsid w:val="007A1526"/>
    <w:rsid w:val="008366F4"/>
    <w:rsid w:val="0085348A"/>
    <w:rsid w:val="00876794"/>
    <w:rsid w:val="00890B5D"/>
    <w:rsid w:val="008C12C9"/>
    <w:rsid w:val="008C1A61"/>
    <w:rsid w:val="008D7535"/>
    <w:rsid w:val="0091098B"/>
    <w:rsid w:val="00913795"/>
    <w:rsid w:val="00933901"/>
    <w:rsid w:val="009348C8"/>
    <w:rsid w:val="00964628"/>
    <w:rsid w:val="00995E63"/>
    <w:rsid w:val="009E0962"/>
    <w:rsid w:val="00A05DAC"/>
    <w:rsid w:val="00A21421"/>
    <w:rsid w:val="00A746EF"/>
    <w:rsid w:val="00A84B59"/>
    <w:rsid w:val="00A95A98"/>
    <w:rsid w:val="00AA6E5C"/>
    <w:rsid w:val="00AB08EA"/>
    <w:rsid w:val="00AB2EEA"/>
    <w:rsid w:val="00AD4BA7"/>
    <w:rsid w:val="00AE5978"/>
    <w:rsid w:val="00BB313A"/>
    <w:rsid w:val="00BC4948"/>
    <w:rsid w:val="00BC50BF"/>
    <w:rsid w:val="00BE002D"/>
    <w:rsid w:val="00BE2000"/>
    <w:rsid w:val="00BF6414"/>
    <w:rsid w:val="00C15A1E"/>
    <w:rsid w:val="00C15C1D"/>
    <w:rsid w:val="00C53A75"/>
    <w:rsid w:val="00C83E77"/>
    <w:rsid w:val="00C9521F"/>
    <w:rsid w:val="00CA16A6"/>
    <w:rsid w:val="00CB22E6"/>
    <w:rsid w:val="00D04839"/>
    <w:rsid w:val="00D17D3B"/>
    <w:rsid w:val="00D23045"/>
    <w:rsid w:val="00D37759"/>
    <w:rsid w:val="00D37EB8"/>
    <w:rsid w:val="00D42E43"/>
    <w:rsid w:val="00D633A6"/>
    <w:rsid w:val="00D64B86"/>
    <w:rsid w:val="00D94F59"/>
    <w:rsid w:val="00D95FA8"/>
    <w:rsid w:val="00DA30C7"/>
    <w:rsid w:val="00DC41C0"/>
    <w:rsid w:val="00E02013"/>
    <w:rsid w:val="00ED4480"/>
    <w:rsid w:val="00EF29B9"/>
    <w:rsid w:val="00EF3BAA"/>
    <w:rsid w:val="00EF53EC"/>
    <w:rsid w:val="00F1013A"/>
    <w:rsid w:val="00F25B08"/>
    <w:rsid w:val="00F369DE"/>
    <w:rsid w:val="00F43AAE"/>
    <w:rsid w:val="00F53AB7"/>
    <w:rsid w:val="00F67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63E6F"/>
  <w15:docId w15:val="{66D60B8E-0CD7-4447-8F2C-BB3D303F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6A6"/>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Markup">
    <w:name w:val="HTML Markup"/>
    <w:rsid w:val="00CA16A6"/>
    <w:rPr>
      <w:vanish/>
      <w:color w:val="FF0000"/>
    </w:rPr>
  </w:style>
  <w:style w:type="paragraph" w:customStyle="1" w:styleId="H4">
    <w:name w:val="H4"/>
    <w:basedOn w:val="Normal"/>
    <w:next w:val="Normal"/>
    <w:rsid w:val="00CA16A6"/>
    <w:pPr>
      <w:keepNext/>
      <w:widowControl w:val="0"/>
      <w:spacing w:before="100" w:after="100"/>
      <w:outlineLvl w:val="4"/>
    </w:pPr>
    <w:rPr>
      <w:b/>
    </w:rPr>
  </w:style>
  <w:style w:type="paragraph" w:customStyle="1" w:styleId="DefinitionList">
    <w:name w:val="Definition List"/>
    <w:basedOn w:val="Normal"/>
    <w:next w:val="Normal"/>
    <w:rsid w:val="00CA16A6"/>
    <w:pPr>
      <w:widowControl w:val="0"/>
      <w:ind w:left="360"/>
    </w:pPr>
  </w:style>
  <w:style w:type="character" w:styleId="Hyperlink">
    <w:name w:val="Hyperlink"/>
    <w:basedOn w:val="DefaultParagraphFont"/>
    <w:rsid w:val="00CA16A6"/>
    <w:rPr>
      <w:color w:val="0000FF"/>
      <w:u w:val="single"/>
    </w:rPr>
  </w:style>
  <w:style w:type="paragraph" w:styleId="List2">
    <w:name w:val="List 2"/>
    <w:basedOn w:val="Normal"/>
    <w:rsid w:val="00CA16A6"/>
    <w:pPr>
      <w:ind w:left="720" w:hanging="360"/>
    </w:pPr>
  </w:style>
  <w:style w:type="paragraph" w:styleId="Header">
    <w:name w:val="header"/>
    <w:basedOn w:val="Normal"/>
    <w:rsid w:val="00CA16A6"/>
    <w:pPr>
      <w:tabs>
        <w:tab w:val="center" w:pos="4320"/>
        <w:tab w:val="right" w:pos="8640"/>
      </w:tabs>
    </w:pPr>
  </w:style>
  <w:style w:type="paragraph" w:styleId="Footer">
    <w:name w:val="footer"/>
    <w:basedOn w:val="Normal"/>
    <w:rsid w:val="00CA16A6"/>
    <w:pPr>
      <w:tabs>
        <w:tab w:val="center" w:pos="4320"/>
        <w:tab w:val="right" w:pos="8640"/>
      </w:tabs>
    </w:pPr>
  </w:style>
  <w:style w:type="character" w:styleId="PageNumber">
    <w:name w:val="page number"/>
    <w:basedOn w:val="DefaultParagraphFont"/>
    <w:rsid w:val="00CA16A6"/>
  </w:style>
  <w:style w:type="character" w:styleId="FollowedHyperlink">
    <w:name w:val="FollowedHyperlink"/>
    <w:basedOn w:val="DefaultParagraphFont"/>
    <w:rsid w:val="00CA16A6"/>
    <w:rPr>
      <w:color w:val="800080"/>
      <w:u w:val="single"/>
    </w:rPr>
  </w:style>
  <w:style w:type="paragraph" w:styleId="BodyTextIndent">
    <w:name w:val="Body Text Indent"/>
    <w:basedOn w:val="Normal"/>
    <w:rsid w:val="00CA16A6"/>
    <w:pPr>
      <w:spacing w:after="40"/>
      <w:ind w:left="504" w:hanging="216"/>
      <w:jc w:val="both"/>
    </w:pPr>
    <w:rPr>
      <w:rFonts w:ascii="Times New Roman" w:hAnsi="Times New Roman"/>
      <w:sz w:val="22"/>
    </w:rPr>
  </w:style>
  <w:style w:type="paragraph" w:styleId="BodyTextIndent2">
    <w:name w:val="Body Text Indent 2"/>
    <w:basedOn w:val="Normal"/>
    <w:rsid w:val="00CA16A6"/>
    <w:pPr>
      <w:spacing w:after="120"/>
      <w:ind w:left="288" w:hanging="288"/>
      <w:jc w:val="both"/>
    </w:pPr>
    <w:rPr>
      <w:rFonts w:ascii="Times New Roman" w:hAnsi="Times New Roman"/>
      <w:sz w:val="22"/>
    </w:rPr>
  </w:style>
  <w:style w:type="paragraph" w:styleId="BodyText">
    <w:name w:val="Body Text"/>
    <w:basedOn w:val="Normal"/>
    <w:rsid w:val="00CA16A6"/>
    <w:rPr>
      <w:rFonts w:ascii="Times New Roman" w:hAnsi="Times New Roman"/>
      <w:sz w:val="22"/>
    </w:rPr>
  </w:style>
  <w:style w:type="character" w:styleId="PlaceholderText">
    <w:name w:val="Placeholder Text"/>
    <w:basedOn w:val="DefaultParagraphFont"/>
    <w:uiPriority w:val="99"/>
    <w:semiHidden/>
    <w:rsid w:val="000A50D8"/>
    <w:rPr>
      <w:color w:val="808080"/>
    </w:rPr>
  </w:style>
  <w:style w:type="paragraph" w:styleId="BalloonText">
    <w:name w:val="Balloon Text"/>
    <w:basedOn w:val="Normal"/>
    <w:link w:val="BalloonTextChar"/>
    <w:rsid w:val="000A50D8"/>
    <w:rPr>
      <w:rFonts w:ascii="Tahoma" w:hAnsi="Tahoma" w:cs="Tahoma"/>
      <w:sz w:val="16"/>
      <w:szCs w:val="16"/>
    </w:rPr>
  </w:style>
  <w:style w:type="character" w:customStyle="1" w:styleId="BalloonTextChar">
    <w:name w:val="Balloon Text Char"/>
    <w:basedOn w:val="DefaultParagraphFont"/>
    <w:link w:val="BalloonText"/>
    <w:rsid w:val="000A50D8"/>
    <w:rPr>
      <w:rFonts w:ascii="Tahoma" w:hAnsi="Tahoma" w:cs="Tahoma"/>
      <w:sz w:val="16"/>
      <w:szCs w:val="16"/>
    </w:rPr>
  </w:style>
  <w:style w:type="paragraph" w:styleId="BodyTextIndent3">
    <w:name w:val="Body Text Indent 3"/>
    <w:basedOn w:val="Normal"/>
    <w:link w:val="BodyTextIndent3Char"/>
    <w:rsid w:val="00621770"/>
    <w:pPr>
      <w:spacing w:after="120"/>
      <w:ind w:left="360"/>
    </w:pPr>
    <w:rPr>
      <w:sz w:val="16"/>
      <w:szCs w:val="16"/>
    </w:rPr>
  </w:style>
  <w:style w:type="character" w:customStyle="1" w:styleId="BodyTextIndent3Char">
    <w:name w:val="Body Text Indent 3 Char"/>
    <w:basedOn w:val="DefaultParagraphFont"/>
    <w:link w:val="BodyTextIndent3"/>
    <w:rsid w:val="00621770"/>
    <w:rPr>
      <w:rFonts w:ascii="Times" w:hAns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3" b="1" i="0" u="none" strike="noStrike" baseline="0">
                <a:solidFill>
                  <a:srgbClr val="000000"/>
                </a:solidFill>
                <a:latin typeface="Arial"/>
                <a:ea typeface="Arial"/>
                <a:cs typeface="Arial"/>
              </a:defRPr>
            </a:pPr>
            <a:r>
              <a:rPr lang="en-US"/>
              <a:t>Muscle Glycogen</a:t>
            </a:r>
          </a:p>
        </c:rich>
      </c:tx>
      <c:layout>
        <c:manualLayout>
          <c:xMode val="edge"/>
          <c:yMode val="edge"/>
          <c:x val="0.37931034482758602"/>
          <c:y val="3.5433070866141801E-2"/>
        </c:manualLayout>
      </c:layout>
      <c:overlay val="0"/>
      <c:spPr>
        <a:noFill/>
        <a:ln w="20666">
          <a:noFill/>
        </a:ln>
      </c:spPr>
    </c:title>
    <c:autoTitleDeleted val="0"/>
    <c:plotArea>
      <c:layout>
        <c:manualLayout>
          <c:layoutTarget val="inner"/>
          <c:xMode val="edge"/>
          <c:yMode val="edge"/>
          <c:x val="0.11695558017225033"/>
          <c:y val="0.1306615813097263"/>
          <c:w val="0.81697612732095504"/>
          <c:h val="0.59448818897637801"/>
        </c:manualLayout>
      </c:layout>
      <c:scatterChart>
        <c:scatterStyle val="lineMarker"/>
        <c:varyColors val="0"/>
        <c:ser>
          <c:idx val="0"/>
          <c:order val="0"/>
          <c:tx>
            <c:v>High Carbohydrate</c:v>
          </c:tx>
          <c:spPr>
            <a:ln w="20666">
              <a:solidFill>
                <a:srgbClr val="000000"/>
              </a:solidFill>
              <a:prstDash val="solid"/>
            </a:ln>
          </c:spPr>
          <c:marker>
            <c:symbol val="none"/>
          </c:marker>
          <c:xVal>
            <c:numRef>
              <c:f>Sheet1!$A$1:$A$8</c:f>
              <c:numCache>
                <c:formatCode>General</c:formatCode>
                <c:ptCount val="8"/>
                <c:pt idx="0">
                  <c:v>-2</c:v>
                </c:pt>
                <c:pt idx="1">
                  <c:v>0</c:v>
                </c:pt>
                <c:pt idx="2">
                  <c:v>5</c:v>
                </c:pt>
                <c:pt idx="3">
                  <c:v>10</c:v>
                </c:pt>
                <c:pt idx="4">
                  <c:v>20</c:v>
                </c:pt>
                <c:pt idx="5">
                  <c:v>30</c:v>
                </c:pt>
                <c:pt idx="6">
                  <c:v>40</c:v>
                </c:pt>
                <c:pt idx="7">
                  <c:v>50</c:v>
                </c:pt>
              </c:numCache>
            </c:numRef>
          </c:xVal>
          <c:yVal>
            <c:numRef>
              <c:f>Sheet1!$B$1:$B$8</c:f>
              <c:numCache>
                <c:formatCode>General</c:formatCode>
                <c:ptCount val="8"/>
                <c:pt idx="0">
                  <c:v>20</c:v>
                </c:pt>
                <c:pt idx="1">
                  <c:v>4</c:v>
                </c:pt>
                <c:pt idx="2">
                  <c:v>10</c:v>
                </c:pt>
                <c:pt idx="3">
                  <c:v>14</c:v>
                </c:pt>
                <c:pt idx="4">
                  <c:v>17</c:v>
                </c:pt>
                <c:pt idx="5">
                  <c:v>18</c:v>
                </c:pt>
                <c:pt idx="6">
                  <c:v>19</c:v>
                </c:pt>
                <c:pt idx="7">
                  <c:v>20</c:v>
                </c:pt>
              </c:numCache>
            </c:numRef>
          </c:yVal>
          <c:smooth val="0"/>
          <c:extLst>
            <c:ext xmlns:c16="http://schemas.microsoft.com/office/drawing/2014/chart" uri="{C3380CC4-5D6E-409C-BE32-E72D297353CC}">
              <c16:uniqueId val="{00000000-AF99-42CF-94DE-4190DA3753B7}"/>
            </c:ext>
          </c:extLst>
        </c:ser>
        <c:ser>
          <c:idx val="1"/>
          <c:order val="1"/>
          <c:tx>
            <c:v>Fat &amp; Protein</c:v>
          </c:tx>
          <c:spPr>
            <a:ln w="20666">
              <a:solidFill>
                <a:srgbClr val="000000"/>
              </a:solidFill>
              <a:prstDash val="sysDash"/>
            </a:ln>
          </c:spPr>
          <c:marker>
            <c:symbol val="none"/>
          </c:marker>
          <c:xVal>
            <c:numRef>
              <c:f>Sheet1!$A$1:$A$8</c:f>
              <c:numCache>
                <c:formatCode>General</c:formatCode>
                <c:ptCount val="8"/>
                <c:pt idx="0">
                  <c:v>-2</c:v>
                </c:pt>
                <c:pt idx="1">
                  <c:v>0</c:v>
                </c:pt>
                <c:pt idx="2">
                  <c:v>5</c:v>
                </c:pt>
                <c:pt idx="3">
                  <c:v>10</c:v>
                </c:pt>
                <c:pt idx="4">
                  <c:v>20</c:v>
                </c:pt>
                <c:pt idx="5">
                  <c:v>30</c:v>
                </c:pt>
                <c:pt idx="6">
                  <c:v>40</c:v>
                </c:pt>
                <c:pt idx="7">
                  <c:v>50</c:v>
                </c:pt>
              </c:numCache>
            </c:numRef>
          </c:xVal>
          <c:yVal>
            <c:numRef>
              <c:f>Sheet1!$C$1:$C$8</c:f>
              <c:numCache>
                <c:formatCode>General</c:formatCode>
                <c:ptCount val="8"/>
                <c:pt idx="0">
                  <c:v>12</c:v>
                </c:pt>
                <c:pt idx="1">
                  <c:v>0</c:v>
                </c:pt>
                <c:pt idx="2">
                  <c:v>1.5</c:v>
                </c:pt>
                <c:pt idx="3">
                  <c:v>3</c:v>
                </c:pt>
                <c:pt idx="4">
                  <c:v>3.5</c:v>
                </c:pt>
                <c:pt idx="5">
                  <c:v>3.8</c:v>
                </c:pt>
                <c:pt idx="6">
                  <c:v>3.9</c:v>
                </c:pt>
                <c:pt idx="7">
                  <c:v>4</c:v>
                </c:pt>
              </c:numCache>
            </c:numRef>
          </c:yVal>
          <c:smooth val="0"/>
          <c:extLst>
            <c:ext xmlns:c16="http://schemas.microsoft.com/office/drawing/2014/chart" uri="{C3380CC4-5D6E-409C-BE32-E72D297353CC}">
              <c16:uniqueId val="{00000001-AF99-42CF-94DE-4190DA3753B7}"/>
            </c:ext>
          </c:extLst>
        </c:ser>
        <c:dLbls>
          <c:showLegendKey val="0"/>
          <c:showVal val="0"/>
          <c:showCatName val="0"/>
          <c:showSerName val="0"/>
          <c:showPercent val="0"/>
          <c:showBubbleSize val="0"/>
        </c:dLbls>
        <c:axId val="176951680"/>
        <c:axId val="176953600"/>
      </c:scatterChart>
      <c:valAx>
        <c:axId val="176951680"/>
        <c:scaling>
          <c:orientation val="minMax"/>
          <c:max val="50"/>
          <c:min val="-10"/>
        </c:scaling>
        <c:delete val="0"/>
        <c:axPos val="b"/>
        <c:majorGridlines>
          <c:spPr>
            <a:ln w="2583">
              <a:solidFill>
                <a:srgbClr val="000000"/>
              </a:solidFill>
              <a:prstDash val="solid"/>
            </a:ln>
          </c:spPr>
        </c:majorGridlines>
        <c:title>
          <c:tx>
            <c:rich>
              <a:bodyPr/>
              <a:lstStyle/>
              <a:p>
                <a:pPr>
                  <a:defRPr sz="651" b="1" i="0" u="none" strike="noStrike" baseline="0">
                    <a:solidFill>
                      <a:srgbClr val="000000"/>
                    </a:solidFill>
                    <a:latin typeface="Arial"/>
                    <a:ea typeface="Arial"/>
                    <a:cs typeface="Arial"/>
                  </a:defRPr>
                </a:pPr>
                <a:r>
                  <a:rPr lang="en-US"/>
                  <a:t>Hours of Recovery</a:t>
                </a:r>
              </a:p>
            </c:rich>
          </c:tx>
          <c:layout>
            <c:manualLayout>
              <c:xMode val="edge"/>
              <c:yMode val="edge"/>
              <c:x val="0.44031830238726799"/>
              <c:y val="0.82283464566929199"/>
            </c:manualLayout>
          </c:layout>
          <c:overlay val="0"/>
          <c:spPr>
            <a:noFill/>
            <a:ln w="20666">
              <a:noFill/>
            </a:ln>
          </c:spPr>
        </c:title>
        <c:numFmt formatCode="General" sourceLinked="1"/>
        <c:majorTickMark val="out"/>
        <c:minorTickMark val="none"/>
        <c:tickLblPos val="nextTo"/>
        <c:spPr>
          <a:ln w="2583">
            <a:solidFill>
              <a:srgbClr val="000000"/>
            </a:solidFill>
            <a:prstDash val="solid"/>
          </a:ln>
        </c:spPr>
        <c:txPr>
          <a:bodyPr rot="0" vert="horz"/>
          <a:lstStyle/>
          <a:p>
            <a:pPr>
              <a:defRPr sz="651" b="0" i="0" u="none" strike="noStrike" baseline="0">
                <a:solidFill>
                  <a:srgbClr val="000000"/>
                </a:solidFill>
                <a:latin typeface="Arial"/>
                <a:ea typeface="Arial"/>
                <a:cs typeface="Arial"/>
              </a:defRPr>
            </a:pPr>
            <a:endParaRPr lang="en-US"/>
          </a:p>
        </c:txPr>
        <c:crossAx val="176953600"/>
        <c:crosses val="autoZero"/>
        <c:crossBetween val="midCat"/>
        <c:majorUnit val="5"/>
        <c:minorUnit val="2"/>
      </c:valAx>
      <c:valAx>
        <c:axId val="176953600"/>
        <c:scaling>
          <c:orientation val="minMax"/>
        </c:scaling>
        <c:delete val="0"/>
        <c:axPos val="l"/>
        <c:majorGridlines>
          <c:spPr>
            <a:ln w="2583">
              <a:solidFill>
                <a:srgbClr val="000000"/>
              </a:solidFill>
              <a:prstDash val="solid"/>
            </a:ln>
          </c:spPr>
        </c:majorGridlines>
        <c:title>
          <c:tx>
            <c:rich>
              <a:bodyPr/>
              <a:lstStyle/>
              <a:p>
                <a:pPr>
                  <a:defRPr sz="651" b="1" i="0" u="none" strike="noStrike" baseline="0">
                    <a:solidFill>
                      <a:srgbClr val="000000"/>
                    </a:solidFill>
                    <a:latin typeface="Arial"/>
                    <a:ea typeface="Arial"/>
                    <a:cs typeface="Arial"/>
                  </a:defRPr>
                </a:pPr>
                <a:r>
                  <a:rPr lang="en-US"/>
                  <a:t>Muscle Glycogen
 (g/kg of muscle)</a:t>
                </a:r>
              </a:p>
            </c:rich>
          </c:tx>
          <c:layout>
            <c:manualLayout>
              <c:xMode val="edge"/>
              <c:yMode val="edge"/>
              <c:x val="0"/>
              <c:y val="0.255905511811024"/>
            </c:manualLayout>
          </c:layout>
          <c:overlay val="0"/>
          <c:spPr>
            <a:noFill/>
            <a:ln w="20666">
              <a:noFill/>
            </a:ln>
          </c:spPr>
        </c:title>
        <c:numFmt formatCode="General" sourceLinked="1"/>
        <c:majorTickMark val="out"/>
        <c:minorTickMark val="none"/>
        <c:tickLblPos val="nextTo"/>
        <c:spPr>
          <a:ln w="2583">
            <a:solidFill>
              <a:srgbClr val="000000"/>
            </a:solidFill>
            <a:prstDash val="solid"/>
          </a:ln>
        </c:spPr>
        <c:txPr>
          <a:bodyPr rot="0" vert="horz"/>
          <a:lstStyle/>
          <a:p>
            <a:pPr>
              <a:defRPr sz="651" b="0" i="0" u="none" strike="noStrike" baseline="0">
                <a:solidFill>
                  <a:srgbClr val="000000"/>
                </a:solidFill>
                <a:latin typeface="Arial"/>
                <a:ea typeface="Arial"/>
                <a:cs typeface="Arial"/>
              </a:defRPr>
            </a:pPr>
            <a:endParaRPr lang="en-US"/>
          </a:p>
        </c:txPr>
        <c:crossAx val="176951680"/>
        <c:crossesAt val="-10"/>
        <c:crossBetween val="midCat"/>
      </c:valAx>
      <c:spPr>
        <a:solidFill>
          <a:srgbClr val="FFFFFF"/>
        </a:solidFill>
        <a:ln w="10333">
          <a:solidFill>
            <a:srgbClr val="808080"/>
          </a:solidFill>
          <a:prstDash val="solid"/>
        </a:ln>
      </c:spPr>
    </c:plotArea>
    <c:legend>
      <c:legendPos val="b"/>
      <c:layout>
        <c:manualLayout>
          <c:xMode val="edge"/>
          <c:yMode val="edge"/>
          <c:x val="0.13793109194684"/>
          <c:y val="0.89328532425909102"/>
          <c:w val="0.66843501326260002"/>
          <c:h val="8.6614173228346497E-2"/>
        </c:manualLayout>
      </c:layout>
      <c:overlay val="0"/>
      <c:spPr>
        <a:solidFill>
          <a:srgbClr val="FFFFFF"/>
        </a:solidFill>
        <a:ln w="2583">
          <a:solidFill>
            <a:srgbClr val="000000"/>
          </a:solidFill>
          <a:prstDash val="solid"/>
        </a:ln>
      </c:spPr>
      <c:txPr>
        <a:bodyPr/>
        <a:lstStyle/>
        <a:p>
          <a:pPr>
            <a:defRPr sz="598"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651"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F1FE-BC4F-4104-BF0D-B0C2DA33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PS 10</vt:lpstr>
    </vt:vector>
  </TitlesOfParts>
  <Company>Carnegie Mellon University</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10</dc:title>
  <dc:creator>Biological Sciences</dc:creator>
  <cp:lastModifiedBy>Gordon Rule</cp:lastModifiedBy>
  <cp:revision>4</cp:revision>
  <cp:lastPrinted>2010-04-06T15:38:00Z</cp:lastPrinted>
  <dcterms:created xsi:type="dcterms:W3CDTF">2019-11-17T15:20:00Z</dcterms:created>
  <dcterms:modified xsi:type="dcterms:W3CDTF">2019-11-17T16:21:00Z</dcterms:modified>
</cp:coreProperties>
</file>