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57" w:rsidRDefault="00B92748" w:rsidP="0048499E">
      <w:pPr>
        <w:rPr>
          <w:sz w:val="2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276.8pt;margin-top:6.25pt;width:213.35pt;height:238.05pt;z-index:251660288;mso-wrap-distance-bottom:28.8pt">
            <v:imagedata r:id="rId8" o:title=""/>
            <w10:wrap type="square"/>
          </v:shape>
          <o:OLEObject Type="Embed" ProgID="ISISServer" ShapeID="_x0000_s1058" DrawAspect="Content" ObjectID="_1426365609" r:id="rId9"/>
        </w:pict>
      </w:r>
      <w:bookmarkEnd w:id="0"/>
      <w:r w:rsidR="0072214C" w:rsidRPr="0048499E">
        <w:rPr>
          <w:b/>
          <w:sz w:val="22"/>
        </w:rPr>
        <w:t xml:space="preserve">ΔG, Gibbs </w:t>
      </w:r>
      <w:proofErr w:type="gramStart"/>
      <w:r w:rsidR="0072214C" w:rsidRPr="0048499E">
        <w:rPr>
          <w:b/>
          <w:sz w:val="22"/>
        </w:rPr>
        <w:t>Free Energy</w:t>
      </w:r>
      <w:proofErr w:type="gramEnd"/>
      <w:r w:rsidR="0072214C">
        <w:rPr>
          <w:sz w:val="22"/>
        </w:rPr>
        <w:t xml:space="preserve">, is the </w:t>
      </w:r>
      <w:r w:rsidR="00DE7D06">
        <w:rPr>
          <w:sz w:val="22"/>
        </w:rPr>
        <w:t xml:space="preserve">difference </w:t>
      </w:r>
      <w:r w:rsidR="0072214C">
        <w:rPr>
          <w:sz w:val="22"/>
        </w:rPr>
        <w:t xml:space="preserve">in chemical potential, </w:t>
      </w:r>
      <w:r w:rsidR="006A5D59">
        <w:rPr>
          <w:sz w:val="22"/>
        </w:rPr>
        <w:t xml:space="preserve">ΔG = </w:t>
      </w:r>
      <w:r w:rsidR="0072214C">
        <w:rPr>
          <w:sz w:val="22"/>
        </w:rPr>
        <w:t>Δµ</w:t>
      </w:r>
      <w:r w:rsidR="00643557">
        <w:rPr>
          <w:sz w:val="22"/>
        </w:rPr>
        <w:t xml:space="preserve"> = µ</w:t>
      </w:r>
      <w:r w:rsidR="00643557">
        <w:rPr>
          <w:sz w:val="22"/>
          <w:vertAlign w:val="subscript"/>
        </w:rPr>
        <w:t>B</w:t>
      </w:r>
      <w:r w:rsidR="00643557">
        <w:rPr>
          <w:sz w:val="22"/>
        </w:rPr>
        <w:t xml:space="preserve"> - µ</w:t>
      </w:r>
      <w:r w:rsidR="00643557">
        <w:rPr>
          <w:sz w:val="22"/>
          <w:vertAlign w:val="subscript"/>
        </w:rPr>
        <w:t>A</w:t>
      </w:r>
      <w:r w:rsidR="0072214C">
        <w:rPr>
          <w:sz w:val="22"/>
        </w:rPr>
        <w:t>.</w:t>
      </w:r>
    </w:p>
    <w:p w:rsidR="0072214C" w:rsidRDefault="00DE7D06" w:rsidP="0048499E">
      <w:pPr>
        <w:rPr>
          <w:sz w:val="22"/>
        </w:rPr>
      </w:pPr>
      <w:r>
        <w:rPr>
          <w:sz w:val="22"/>
        </w:rPr>
        <w:t>Assuming the usual direction for the reaction of A</w:t>
      </w:r>
      <w:r>
        <w:rPr>
          <w:sz w:val="22"/>
        </w:rPr>
        <w:sym w:font="Symbol" w:char="F0AE"/>
      </w:r>
      <w:r>
        <w:rPr>
          <w:sz w:val="22"/>
        </w:rPr>
        <w:t>B, where A is the reactant and B is the product.</w:t>
      </w:r>
    </w:p>
    <w:p w:rsidR="00DE7D06" w:rsidRDefault="0025469D" w:rsidP="0048499E">
      <w:pPr>
        <w:rPr>
          <w:sz w:val="22"/>
        </w:rPr>
      </w:pPr>
      <w:r>
        <w:rPr>
          <w:sz w:val="22"/>
        </w:rPr>
        <w:tab/>
      </w:r>
      <w:r w:rsidRPr="00DE7D06">
        <w:rPr>
          <w:position w:val="-80"/>
          <w:sz w:val="22"/>
        </w:rPr>
        <w:object w:dxaOrig="4860" w:dyaOrig="1460">
          <v:shape id="_x0000_i1025" type="#_x0000_t75" style="width:216.65pt;height:64.65pt" o:ole="">
            <v:imagedata r:id="rId10" o:title=""/>
          </v:shape>
          <o:OLEObject Type="Embed" ProgID="Equation.3" ShapeID="_x0000_i1025" DrawAspect="Content" ObjectID="_1426365605" r:id="rId11"/>
        </w:object>
      </w:r>
    </w:p>
    <w:p w:rsidR="00F5620F" w:rsidRPr="009E7773" w:rsidRDefault="00F5620F" w:rsidP="0048499E">
      <w:pPr>
        <w:numPr>
          <w:ilvl w:val="0"/>
          <w:numId w:val="40"/>
        </w:numPr>
        <w:rPr>
          <w:sz w:val="22"/>
        </w:rPr>
      </w:pPr>
      <w:r>
        <w:rPr>
          <w:sz w:val="22"/>
        </w:rPr>
        <w:t>ΔG is a measure of the potential energy of the system, or its ability to do work (release energy).</w:t>
      </w:r>
    </w:p>
    <w:p w:rsidR="00DE7D06" w:rsidRDefault="00DE7D06" w:rsidP="0048499E">
      <w:pPr>
        <w:numPr>
          <w:ilvl w:val="0"/>
          <w:numId w:val="40"/>
        </w:numPr>
        <w:rPr>
          <w:sz w:val="22"/>
        </w:rPr>
      </w:pPr>
      <w:r>
        <w:rPr>
          <w:sz w:val="22"/>
        </w:rPr>
        <w:t>ΔG indicates the spontaneous direction of the reaction.</w:t>
      </w:r>
    </w:p>
    <w:p w:rsidR="00F5620F" w:rsidRDefault="00F5620F" w:rsidP="00110BFD">
      <w:pPr>
        <w:spacing w:before="60"/>
        <w:ind w:left="144" w:hanging="144"/>
        <w:rPr>
          <w:sz w:val="22"/>
        </w:rPr>
      </w:pPr>
      <w:r w:rsidRPr="00F5620F">
        <w:rPr>
          <w:b/>
          <w:sz w:val="22"/>
        </w:rPr>
        <w:t>ΔG = 0</w:t>
      </w:r>
      <w:r>
        <w:rPr>
          <w:sz w:val="22"/>
        </w:rPr>
        <w:t xml:space="preserve"> the reaction is at equilibrium</w:t>
      </w:r>
      <w:r w:rsidR="0048499E">
        <w:rPr>
          <w:sz w:val="22"/>
        </w:rPr>
        <w:t>,</w:t>
      </w:r>
      <w:r>
        <w:rPr>
          <w:sz w:val="22"/>
        </w:rPr>
        <w:t xml:space="preserve"> the </w:t>
      </w:r>
      <w:r w:rsidR="00110BFD">
        <w:rPr>
          <w:sz w:val="22"/>
        </w:rPr>
        <w:t>difference in the potential energies of A and B is zero, no energy can be gained converting A to B or B to A.</w:t>
      </w:r>
    </w:p>
    <w:p w:rsidR="00F5620F" w:rsidRDefault="00F5620F" w:rsidP="00110BFD">
      <w:pPr>
        <w:spacing w:before="60"/>
        <w:ind w:left="144" w:hanging="144"/>
        <w:rPr>
          <w:sz w:val="22"/>
        </w:rPr>
      </w:pPr>
      <w:r w:rsidRPr="00F5620F">
        <w:rPr>
          <w:b/>
          <w:sz w:val="22"/>
        </w:rPr>
        <w:t>ΔG &lt; 0</w:t>
      </w:r>
      <w:r>
        <w:rPr>
          <w:sz w:val="22"/>
        </w:rPr>
        <w:t xml:space="preserve"> t</w:t>
      </w:r>
      <w:r w:rsidR="0048499E">
        <w:rPr>
          <w:sz w:val="22"/>
        </w:rPr>
        <w:t>he reaction is</w:t>
      </w:r>
      <w:r w:rsidR="003D7E33">
        <w:rPr>
          <w:sz w:val="22"/>
        </w:rPr>
        <w:t xml:space="preserve"> spontaneo</w:t>
      </w:r>
      <w:r w:rsidR="00643557">
        <w:rPr>
          <w:sz w:val="22"/>
        </w:rPr>
        <w:t>us, and energy will be released as the system approaches equilibrium</w:t>
      </w:r>
      <w:r w:rsidR="00110BFD">
        <w:rPr>
          <w:sz w:val="22"/>
        </w:rPr>
        <w:t xml:space="preserve">, the potential of A is larger than B, A→B is </w:t>
      </w:r>
      <w:proofErr w:type="spellStart"/>
      <w:r w:rsidR="00110BFD">
        <w:rPr>
          <w:sz w:val="22"/>
        </w:rPr>
        <w:t>spon</w:t>
      </w:r>
      <w:proofErr w:type="spellEnd"/>
      <w:r w:rsidR="00110BFD">
        <w:rPr>
          <w:sz w:val="22"/>
        </w:rPr>
        <w:t>.</w:t>
      </w:r>
    </w:p>
    <w:p w:rsidR="00F5620F" w:rsidRDefault="00F5620F" w:rsidP="00110BFD">
      <w:pPr>
        <w:spacing w:before="60"/>
        <w:ind w:left="144" w:hanging="144"/>
        <w:rPr>
          <w:sz w:val="22"/>
        </w:rPr>
      </w:pPr>
      <w:r w:rsidRPr="00F5620F">
        <w:rPr>
          <w:b/>
          <w:sz w:val="22"/>
        </w:rPr>
        <w:t>ΔG &gt; 0</w:t>
      </w:r>
      <w:r>
        <w:rPr>
          <w:sz w:val="22"/>
        </w:rPr>
        <w:t xml:space="preserve"> </w:t>
      </w:r>
      <w:r w:rsidR="003D7E33">
        <w:rPr>
          <w:sz w:val="22"/>
        </w:rPr>
        <w:t>the reaction is not spontaneous, energ</w:t>
      </w:r>
      <w:r w:rsidR="00056C64">
        <w:rPr>
          <w:sz w:val="22"/>
        </w:rPr>
        <w:t>y had</w:t>
      </w:r>
      <w:r w:rsidR="003D7E33">
        <w:rPr>
          <w:sz w:val="22"/>
        </w:rPr>
        <w:t xml:space="preserve"> to be added to the system</w:t>
      </w:r>
      <w:r w:rsidR="00056C64">
        <w:rPr>
          <w:sz w:val="22"/>
        </w:rPr>
        <w:t xml:space="preserve"> to reach this state</w:t>
      </w:r>
      <w:r w:rsidR="003D7E33">
        <w:rPr>
          <w:sz w:val="22"/>
        </w:rPr>
        <w:t xml:space="preserve"> (</w:t>
      </w:r>
      <w:r w:rsidR="0048499E">
        <w:rPr>
          <w:sz w:val="22"/>
        </w:rPr>
        <w:t>the reverse reaction is spontaneous).</w:t>
      </w:r>
      <w:r w:rsidR="0025469D" w:rsidRPr="0025469D">
        <w:t xml:space="preserve"> </w:t>
      </w:r>
      <w:r w:rsidR="00110BFD">
        <w:t xml:space="preserve"> The potential of B is larger than A, the system will spontaneously move: B→A.</w:t>
      </w:r>
    </w:p>
    <w:p w:rsidR="0025469D" w:rsidRDefault="00B92748" w:rsidP="0048499E">
      <w:pPr>
        <w:jc w:val="both"/>
        <w:rPr>
          <w:b/>
          <w:sz w:val="22"/>
        </w:rPr>
      </w:pPr>
      <w:r>
        <w:rPr>
          <w:noProof/>
          <w:sz w:val="22"/>
        </w:rPr>
        <w:pict>
          <v:shape id="_x0000_s1059" type="#_x0000_t75" style="position:absolute;left:0;text-align:left;margin-left:166.3pt;margin-top:8.5pt;width:368.35pt;height:130.2pt;z-index:251661312">
            <v:imagedata r:id="rId12" o:title=""/>
            <w10:wrap type="square"/>
          </v:shape>
          <o:OLEObject Type="Embed" ProgID="ISISServer" ShapeID="_x0000_s1059" DrawAspect="Content" ObjectID="_1426365610" r:id="rId13"/>
        </w:pict>
      </w:r>
    </w:p>
    <w:p w:rsidR="00F5620F" w:rsidRPr="005F2E84" w:rsidRDefault="003D7E33" w:rsidP="007A2EED">
      <w:pPr>
        <w:jc w:val="both"/>
        <w:rPr>
          <w:sz w:val="22"/>
        </w:rPr>
      </w:pPr>
      <w:r w:rsidRPr="003D7E33">
        <w:rPr>
          <w:b/>
          <w:sz w:val="22"/>
        </w:rPr>
        <w:t>Case 1</w:t>
      </w:r>
      <w:r w:rsidR="00DE7D06" w:rsidRPr="003D7E33">
        <w:rPr>
          <w:b/>
          <w:sz w:val="22"/>
        </w:rPr>
        <w:t xml:space="preserve">: </w:t>
      </w:r>
      <w:r w:rsidR="00DE7D06" w:rsidRPr="005F2E84">
        <w:rPr>
          <w:sz w:val="22"/>
        </w:rPr>
        <w:t>At equilibrium</w:t>
      </w:r>
      <w:r w:rsidR="00F5620F" w:rsidRPr="005F2E84">
        <w:rPr>
          <w:sz w:val="22"/>
        </w:rPr>
        <w:t>.</w:t>
      </w:r>
      <w:r w:rsidR="00643557" w:rsidRPr="00643557">
        <w:t xml:space="preserve"> </w:t>
      </w:r>
    </w:p>
    <w:p w:rsidR="00F5620F" w:rsidRDefault="003D7E33" w:rsidP="007A2EED">
      <w:pPr>
        <w:ind w:left="144"/>
        <w:jc w:val="both"/>
      </w:pPr>
      <w:r w:rsidRPr="003D7E33">
        <w:rPr>
          <w:position w:val="-120"/>
        </w:rPr>
        <w:object w:dxaOrig="4599" w:dyaOrig="2520">
          <v:shape id="_x0000_i1026" type="#_x0000_t75" style="width:180pt;height:99.35pt" o:ole="" fillcolor="window">
            <v:imagedata r:id="rId14" o:title=""/>
          </v:shape>
          <o:OLEObject Type="Embed" ProgID="Equation.3" ShapeID="_x0000_i1026" DrawAspect="Content" ObjectID="_1426365606" r:id="rId15"/>
        </w:object>
      </w:r>
    </w:p>
    <w:p w:rsidR="00B92748" w:rsidRDefault="00B92748" w:rsidP="007A2EED">
      <w:pPr>
        <w:ind w:left="144"/>
        <w:jc w:val="both"/>
        <w:rPr>
          <w:sz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5400"/>
      </w:tblGrid>
      <w:tr w:rsidR="007A2EED" w:rsidRPr="002C6381" w:rsidTr="002C6381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A2EED" w:rsidRPr="002C6381" w:rsidRDefault="007A2EED" w:rsidP="007A2EED">
            <w:pPr>
              <w:rPr>
                <w:sz w:val="22"/>
              </w:rPr>
            </w:pPr>
            <w:r w:rsidRPr="002C6381">
              <w:rPr>
                <w:b/>
                <w:sz w:val="22"/>
              </w:rPr>
              <w:t xml:space="preserve">Case </w:t>
            </w:r>
            <w:proofErr w:type="gramStart"/>
            <w:r w:rsidRPr="002C6381">
              <w:rPr>
                <w:b/>
                <w:sz w:val="22"/>
              </w:rPr>
              <w:t>2 :</w:t>
            </w:r>
            <w:proofErr w:type="gramEnd"/>
            <w:r w:rsidRPr="002C6381">
              <w:rPr>
                <w:sz w:val="22"/>
              </w:rPr>
              <w:t xml:space="preserve"> [A] higher than its equilibrium point.</w:t>
            </w:r>
          </w:p>
          <w:p w:rsidR="007A2EED" w:rsidRPr="002C6381" w:rsidRDefault="007A2EED" w:rsidP="007A2EED">
            <w:pPr>
              <w:rPr>
                <w:sz w:val="22"/>
              </w:rPr>
            </w:pPr>
            <w:r w:rsidRPr="002C6381">
              <w:rPr>
                <w:position w:val="-112"/>
              </w:rPr>
              <w:object w:dxaOrig="5800" w:dyaOrig="2360">
                <v:shape id="_x0000_i1027" type="#_x0000_t75" style="width:228pt;height:93.35pt" o:ole="" fillcolor="window">
                  <v:imagedata r:id="rId16" o:title=""/>
                </v:shape>
                <o:OLEObject Type="Embed" ProgID="Equation.3" ShapeID="_x0000_i1027" DrawAspect="Content" ObjectID="_1426365607" r:id="rId17"/>
              </w:object>
            </w:r>
          </w:p>
          <w:p w:rsidR="007A2EED" w:rsidRPr="002C6381" w:rsidRDefault="007A2EED" w:rsidP="002C6381">
            <w:pPr>
              <w:ind w:left="144"/>
              <w:rPr>
                <w:sz w:val="22"/>
              </w:rPr>
            </w:pPr>
            <w:r w:rsidRPr="002C6381">
              <w:rPr>
                <w:sz w:val="22"/>
              </w:rPr>
              <w:t xml:space="preserve">Both </w:t>
            </w:r>
            <w:proofErr w:type="spellStart"/>
            <w:r w:rsidRPr="002C6381">
              <w:rPr>
                <w:i/>
                <w:sz w:val="22"/>
              </w:rPr>
              <w:t>ln</w:t>
            </w:r>
            <w:proofErr w:type="spellEnd"/>
            <w:r w:rsidRPr="002C6381">
              <w:rPr>
                <w:sz w:val="22"/>
              </w:rPr>
              <w:t xml:space="preserve"> terms are &lt;1, therefore </w:t>
            </w:r>
            <w:r w:rsidRPr="002C6381">
              <w:rPr>
                <w:sz w:val="22"/>
              </w:rPr>
              <w:sym w:font="Symbol" w:char="F044"/>
            </w:r>
            <w:r w:rsidRPr="002C6381">
              <w:rPr>
                <w:sz w:val="22"/>
              </w:rPr>
              <w:t>G is &lt;1.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A2EED" w:rsidRPr="002C6381" w:rsidRDefault="007A2EED" w:rsidP="007A2EED">
            <w:pPr>
              <w:rPr>
                <w:sz w:val="22"/>
              </w:rPr>
            </w:pPr>
            <w:r w:rsidRPr="002C6381">
              <w:rPr>
                <w:b/>
                <w:sz w:val="22"/>
                <w:szCs w:val="22"/>
              </w:rPr>
              <w:t xml:space="preserve">Case 3: </w:t>
            </w:r>
            <w:r w:rsidRPr="002C6381">
              <w:rPr>
                <w:sz w:val="22"/>
              </w:rPr>
              <w:t>[B] higher than its equilibrium point.</w:t>
            </w:r>
          </w:p>
          <w:p w:rsidR="009708E8" w:rsidRPr="002C6381" w:rsidRDefault="007A2EED" w:rsidP="002C6381">
            <w:pPr>
              <w:ind w:left="144"/>
              <w:rPr>
                <w:sz w:val="22"/>
              </w:rPr>
            </w:pPr>
            <w:r w:rsidRPr="002C6381">
              <w:rPr>
                <w:position w:val="-112"/>
              </w:rPr>
              <w:object w:dxaOrig="5920" w:dyaOrig="2360">
                <v:shape id="_x0000_i1028" type="#_x0000_t75" style="width:232.65pt;height:93.35pt" o:ole="" fillcolor="window">
                  <v:imagedata r:id="rId18" o:title=""/>
                </v:shape>
                <o:OLEObject Type="Embed" ProgID="Equation.3" ShapeID="_x0000_i1028" DrawAspect="Content" ObjectID="_1426365608" r:id="rId19"/>
              </w:object>
            </w:r>
          </w:p>
          <w:p w:rsidR="007A2EED" w:rsidRPr="002C6381" w:rsidRDefault="007A2EED" w:rsidP="002C6381">
            <w:pPr>
              <w:ind w:left="144"/>
              <w:rPr>
                <w:sz w:val="22"/>
              </w:rPr>
            </w:pPr>
            <w:r w:rsidRPr="002C6381">
              <w:rPr>
                <w:sz w:val="22"/>
              </w:rPr>
              <w:t xml:space="preserve">Both </w:t>
            </w:r>
            <w:proofErr w:type="spellStart"/>
            <w:r w:rsidRPr="002C6381">
              <w:rPr>
                <w:i/>
                <w:sz w:val="22"/>
              </w:rPr>
              <w:t>ln</w:t>
            </w:r>
            <w:proofErr w:type="spellEnd"/>
            <w:r w:rsidRPr="002C6381">
              <w:rPr>
                <w:sz w:val="22"/>
              </w:rPr>
              <w:t xml:space="preserve"> terms are &gt;1, therefore </w:t>
            </w:r>
            <w:r w:rsidRPr="002C6381">
              <w:rPr>
                <w:sz w:val="22"/>
              </w:rPr>
              <w:sym w:font="Symbol" w:char="F044"/>
            </w:r>
            <w:r w:rsidRPr="002C6381">
              <w:rPr>
                <w:sz w:val="22"/>
              </w:rPr>
              <w:t>G is &gt;</w:t>
            </w:r>
            <w:r w:rsidR="009708E8" w:rsidRPr="002C6381">
              <w:rPr>
                <w:sz w:val="22"/>
              </w:rPr>
              <w:t>1</w:t>
            </w:r>
          </w:p>
        </w:tc>
      </w:tr>
    </w:tbl>
    <w:p w:rsidR="00D1452B" w:rsidRDefault="00FE3384" w:rsidP="009708E8">
      <w:pPr>
        <w:spacing w:before="120"/>
        <w:ind w:left="288" w:hanging="288"/>
        <w:jc w:val="both"/>
        <w:rPr>
          <w:sz w:val="22"/>
        </w:rPr>
      </w:pPr>
      <w:r>
        <w:rPr>
          <w:b/>
          <w:sz w:val="24"/>
          <w:szCs w:val="24"/>
        </w:rPr>
        <w:t xml:space="preserve">4. </w:t>
      </w:r>
      <w:r w:rsidR="00A4563C" w:rsidRPr="00F64D73">
        <w:rPr>
          <w:b/>
          <w:sz w:val="24"/>
          <w:szCs w:val="24"/>
        </w:rPr>
        <w:t>Flux and Coupling of Reactions:</w:t>
      </w:r>
      <w:r w:rsidR="00F64D73">
        <w:rPr>
          <w:b/>
          <w:sz w:val="22"/>
        </w:rPr>
        <w:t xml:space="preserve"> </w:t>
      </w:r>
      <w:r w:rsidR="00D1452B">
        <w:rPr>
          <w:sz w:val="22"/>
        </w:rPr>
        <w:t xml:space="preserve">A key feature of all biochemical pathways is that there is a constant flux of material through the pathway.   To insure a constant flux through the pathway it is necessary to insure that the </w:t>
      </w:r>
      <w:r w:rsidR="00B3047B">
        <w:rPr>
          <w:sz w:val="22"/>
        </w:rPr>
        <w:t xml:space="preserve">Gibbs energy of the </w:t>
      </w:r>
      <w:r w:rsidR="00D1452B">
        <w:rPr>
          <w:sz w:val="22"/>
        </w:rPr>
        <w:t xml:space="preserve">products </w:t>
      </w:r>
      <w:proofErr w:type="gramStart"/>
      <w:r w:rsidR="00D1452B">
        <w:rPr>
          <w:sz w:val="22"/>
        </w:rPr>
        <w:t>are</w:t>
      </w:r>
      <w:proofErr w:type="gramEnd"/>
      <w:r w:rsidR="00D1452B">
        <w:rPr>
          <w:sz w:val="22"/>
        </w:rPr>
        <w:t xml:space="preserve"> lower in energy than the substrates, such that the natural flow is </w:t>
      </w:r>
      <w:r w:rsidR="00B3047B">
        <w:rPr>
          <w:sz w:val="22"/>
        </w:rPr>
        <w:t>always from substrates to products.</w:t>
      </w:r>
    </w:p>
    <w:p w:rsidR="00D1452B" w:rsidRDefault="00D1452B">
      <w:pPr>
        <w:spacing w:before="120"/>
        <w:rPr>
          <w:sz w:val="22"/>
        </w:rPr>
      </w:pPr>
    </w:p>
    <w:p w:rsidR="00F64D73" w:rsidRDefault="00F64D73">
      <w:pPr>
        <w:spacing w:before="120"/>
        <w:rPr>
          <w:sz w:val="22"/>
        </w:rPr>
      </w:pPr>
    </w:p>
    <w:p w:rsidR="00D1452B" w:rsidRDefault="00D1452B">
      <w:pPr>
        <w:rPr>
          <w:b/>
          <w:sz w:val="22"/>
        </w:rPr>
      </w:pPr>
    </w:p>
    <w:p w:rsidR="00B92748" w:rsidRDefault="00B92748">
      <w:pPr>
        <w:rPr>
          <w:b/>
          <w:sz w:val="22"/>
        </w:rPr>
      </w:pPr>
    </w:p>
    <w:p w:rsidR="00D1452B" w:rsidRDefault="00B92748">
      <w:pPr>
        <w:jc w:val="both"/>
        <w:rPr>
          <w:sz w:val="22"/>
        </w:rPr>
      </w:pPr>
      <w:r>
        <w:rPr>
          <w:noProof/>
        </w:rPr>
        <w:lastRenderedPageBreak/>
        <w:pict>
          <v:shape id="_x0000_s1026" type="#_x0000_t75" style="position:absolute;left:0;text-align:left;margin-left:198.65pt;margin-top:.6pt;width:304.85pt;height:185.55pt;z-index:251654144;mso-wrap-distance-left:0;mso-wrap-distance-bottom:7.2pt">
            <v:imagedata r:id="rId20" o:title=""/>
            <w10:wrap type="square"/>
          </v:shape>
          <o:OLEObject Type="Embed" ProgID="ISISServer" ShapeID="_x0000_s1026" DrawAspect="Content" ObjectID="_1426365611" r:id="rId21"/>
        </w:pict>
      </w:r>
      <w:r w:rsidR="00D1452B" w:rsidRPr="00F64D73">
        <w:rPr>
          <w:b/>
          <w:sz w:val="22"/>
          <w:szCs w:val="22"/>
        </w:rPr>
        <w:t>Direct Coupling:</w:t>
      </w:r>
      <w:r w:rsidR="00D1452B">
        <w:rPr>
          <w:sz w:val="22"/>
        </w:rPr>
        <w:t xml:space="preserve"> Many steps in biochemical pathways involve reactions that are extremely unfavorable, i.e. a large positive </w:t>
      </w:r>
      <w:r w:rsidR="00D1452B">
        <w:rPr>
          <w:sz w:val="22"/>
        </w:rPr>
        <w:sym w:font="Symbol" w:char="F044"/>
      </w:r>
      <w:r w:rsidR="00D1452B">
        <w:rPr>
          <w:sz w:val="22"/>
        </w:rPr>
        <w:t>G</w:t>
      </w:r>
      <w:r w:rsidR="00D1452B">
        <w:rPr>
          <w:sz w:val="22"/>
          <w:vertAlign w:val="superscript"/>
        </w:rPr>
        <w:t>o</w:t>
      </w:r>
      <w:r w:rsidR="00D1452B">
        <w:rPr>
          <w:sz w:val="22"/>
        </w:rPr>
        <w:t xml:space="preserve">.  This energy barrier reduced by the </w:t>
      </w:r>
      <w:r w:rsidR="00D1452B" w:rsidRPr="00F64D73">
        <w:rPr>
          <w:b/>
          <w:sz w:val="22"/>
        </w:rPr>
        <w:t>direct coupling</w:t>
      </w:r>
      <w:r w:rsidR="00D1452B">
        <w:rPr>
          <w:sz w:val="22"/>
        </w:rPr>
        <w:t xml:space="preserve"> of the unfavorable reaction to a favorable one,</w:t>
      </w:r>
      <w:r w:rsidR="009708E8">
        <w:rPr>
          <w:sz w:val="22"/>
        </w:rPr>
        <w:t xml:space="preserve"> with both reactions occurring at the same time</w:t>
      </w:r>
      <w:r w:rsidR="00D1452B">
        <w:rPr>
          <w:sz w:val="22"/>
        </w:rPr>
        <w:t xml:space="preserve"> </w:t>
      </w:r>
      <w:r w:rsidR="00D1452B" w:rsidRPr="00F64D73">
        <w:rPr>
          <w:b/>
          <w:sz w:val="22"/>
        </w:rPr>
        <w:t>in the active</w:t>
      </w:r>
      <w:r w:rsidR="009708E8">
        <w:rPr>
          <w:sz w:val="22"/>
        </w:rPr>
        <w:t xml:space="preserve"> site of one</w:t>
      </w:r>
      <w:r w:rsidR="00D1452B">
        <w:rPr>
          <w:sz w:val="22"/>
        </w:rPr>
        <w:t xml:space="preserve"> enzyme.</w:t>
      </w:r>
      <w:r w:rsidR="00D1452B">
        <w:rPr>
          <w:b/>
          <w:sz w:val="22"/>
        </w:rPr>
        <w:t xml:space="preserve">  </w:t>
      </w:r>
      <w:r w:rsidR="00D1452B">
        <w:rPr>
          <w:sz w:val="22"/>
        </w:rPr>
        <w:t xml:space="preserve">The energetics of each reaction </w:t>
      </w:r>
      <w:proofErr w:type="gramStart"/>
      <w:r w:rsidR="00D1452B">
        <w:rPr>
          <w:sz w:val="22"/>
        </w:rPr>
        <w:t>are</w:t>
      </w:r>
      <w:proofErr w:type="gramEnd"/>
      <w:r w:rsidR="00D1452B">
        <w:rPr>
          <w:sz w:val="22"/>
        </w:rPr>
        <w:t xml:space="preserve"> most easily seen by considering the half-reactions. For example, the first reaction in glycolysis, catalyzed by the enzyme </w:t>
      </w:r>
      <w:proofErr w:type="spellStart"/>
      <w:r w:rsidR="00D1452B">
        <w:rPr>
          <w:sz w:val="22"/>
        </w:rPr>
        <w:t>hexosekinase</w:t>
      </w:r>
      <w:proofErr w:type="spellEnd"/>
      <w:r w:rsidR="00D1452B">
        <w:rPr>
          <w:sz w:val="22"/>
        </w:rPr>
        <w:t xml:space="preserve">, converts glucose to glucose-6-phosphate. The high energy of ATP is used to drive this unfavorable reaction by </w:t>
      </w:r>
      <w:r w:rsidR="006A5D59">
        <w:rPr>
          <w:sz w:val="22"/>
        </w:rPr>
        <w:t xml:space="preserve">direct </w:t>
      </w:r>
      <w:r w:rsidR="00D1452B">
        <w:rPr>
          <w:sz w:val="22"/>
        </w:rPr>
        <w:t>coupling</w:t>
      </w:r>
      <w:proofErr w:type="gramStart"/>
      <w:r w:rsidR="006A5D59">
        <w:rPr>
          <w:sz w:val="22"/>
        </w:rPr>
        <w:t>.</w:t>
      </w:r>
      <w:r w:rsidR="00D1452B">
        <w:rPr>
          <w:sz w:val="22"/>
        </w:rPr>
        <w:t>.</w:t>
      </w:r>
      <w:proofErr w:type="gramEnd"/>
    </w:p>
    <w:p w:rsidR="006B35C1" w:rsidRDefault="006B35C1" w:rsidP="006B35C1">
      <w:pPr>
        <w:spacing w:before="120"/>
        <w:jc w:val="both"/>
        <w:rPr>
          <w:sz w:val="22"/>
        </w:rPr>
      </w:pPr>
      <w:r>
        <w:rPr>
          <w:sz w:val="22"/>
        </w:rPr>
        <w:t xml:space="preserve">Reactions of this type are often called </w:t>
      </w:r>
      <w:r w:rsidRPr="006B35C1">
        <w:rPr>
          <w:b/>
          <w:sz w:val="22"/>
        </w:rPr>
        <w:t>“group transfer reactions”</w:t>
      </w:r>
      <w:r>
        <w:rPr>
          <w:sz w:val="22"/>
        </w:rPr>
        <w:t xml:space="preserve"> since a group (phosphate) is transferred from one substrate to another.</w:t>
      </w:r>
    </w:p>
    <w:p w:rsidR="00B92748" w:rsidRDefault="00B92748" w:rsidP="007A2EED">
      <w:pPr>
        <w:spacing w:before="120"/>
        <w:jc w:val="both"/>
        <w:rPr>
          <w:b/>
          <w:sz w:val="22"/>
          <w:szCs w:val="22"/>
        </w:rPr>
      </w:pPr>
    </w:p>
    <w:p w:rsidR="00B92748" w:rsidRDefault="00B92748" w:rsidP="007A2EED">
      <w:pPr>
        <w:spacing w:before="120"/>
        <w:jc w:val="both"/>
        <w:rPr>
          <w:b/>
          <w:sz w:val="22"/>
          <w:szCs w:val="22"/>
        </w:rPr>
      </w:pPr>
    </w:p>
    <w:p w:rsidR="00B92748" w:rsidRDefault="00B92748" w:rsidP="007A2EED">
      <w:pPr>
        <w:spacing w:before="120"/>
        <w:jc w:val="both"/>
        <w:rPr>
          <w:b/>
          <w:sz w:val="22"/>
          <w:szCs w:val="22"/>
        </w:rPr>
      </w:pPr>
    </w:p>
    <w:p w:rsidR="00B92748" w:rsidRDefault="00B92748" w:rsidP="007A2EED">
      <w:pPr>
        <w:spacing w:before="120"/>
        <w:jc w:val="both"/>
        <w:rPr>
          <w:b/>
          <w:sz w:val="22"/>
          <w:szCs w:val="22"/>
        </w:rPr>
      </w:pPr>
    </w:p>
    <w:p w:rsidR="00B92748" w:rsidRDefault="00B92748" w:rsidP="007A2EED">
      <w:pPr>
        <w:spacing w:before="120"/>
        <w:jc w:val="both"/>
        <w:rPr>
          <w:b/>
          <w:sz w:val="22"/>
          <w:szCs w:val="22"/>
        </w:rPr>
      </w:pPr>
    </w:p>
    <w:p w:rsidR="00B92748" w:rsidRDefault="00B92748" w:rsidP="007A2EED">
      <w:pPr>
        <w:spacing w:before="120"/>
        <w:jc w:val="both"/>
        <w:rPr>
          <w:b/>
          <w:sz w:val="22"/>
          <w:szCs w:val="22"/>
        </w:rPr>
      </w:pPr>
    </w:p>
    <w:p w:rsidR="00B92748" w:rsidRDefault="00B92748" w:rsidP="007A2EED">
      <w:pPr>
        <w:spacing w:before="120"/>
        <w:jc w:val="both"/>
        <w:rPr>
          <w:b/>
          <w:sz w:val="22"/>
          <w:szCs w:val="22"/>
        </w:rPr>
      </w:pPr>
    </w:p>
    <w:p w:rsidR="00D1452B" w:rsidRPr="00F64D73" w:rsidRDefault="00D1452B" w:rsidP="007A2EED">
      <w:pPr>
        <w:spacing w:before="120"/>
        <w:jc w:val="both"/>
        <w:rPr>
          <w:sz w:val="22"/>
        </w:rPr>
      </w:pPr>
      <w:r w:rsidRPr="00F64D73">
        <w:rPr>
          <w:b/>
          <w:sz w:val="22"/>
          <w:szCs w:val="22"/>
        </w:rPr>
        <w:t>Indirect Coupling:</w:t>
      </w:r>
      <w:r>
        <w:rPr>
          <w:b/>
          <w:sz w:val="22"/>
        </w:rPr>
        <w:t xml:space="preserve"> </w:t>
      </w:r>
      <w:r>
        <w:rPr>
          <w:sz w:val="22"/>
        </w:rPr>
        <w:t xml:space="preserve">By lowering the concentration of the product, </w:t>
      </w:r>
      <w:r w:rsidR="00F64D73">
        <w:rPr>
          <w:sz w:val="22"/>
        </w:rPr>
        <w:t>a reaction can be made spontaneous; t</w:t>
      </w:r>
      <w:r>
        <w:rPr>
          <w:sz w:val="22"/>
        </w:rPr>
        <w:t xml:space="preserve">he </w:t>
      </w:r>
      <w:r>
        <w:rPr>
          <w:sz w:val="22"/>
        </w:rPr>
        <w:sym w:font="Symbol" w:char="F044"/>
      </w:r>
      <w:r>
        <w:rPr>
          <w:sz w:val="22"/>
        </w:rPr>
        <w:t>G becomes &lt; 0</w:t>
      </w:r>
      <w:r w:rsidR="00F64D73">
        <w:rPr>
          <w:sz w:val="22"/>
        </w:rPr>
        <w:t>.</w:t>
      </w:r>
      <w:r>
        <w:rPr>
          <w:sz w:val="22"/>
        </w:rPr>
        <w:t xml:space="preserve"> This generally implies that a reaction further down the pathway has a large negative </w:t>
      </w:r>
      <w:r>
        <w:rPr>
          <w:sz w:val="22"/>
        </w:rPr>
        <w:sym w:font="Symbol" w:char="F044"/>
      </w:r>
      <w:r>
        <w:rPr>
          <w:sz w:val="22"/>
        </w:rPr>
        <w:t>G</w:t>
      </w:r>
      <w:r>
        <w:rPr>
          <w:sz w:val="22"/>
          <w:vertAlign w:val="superscript"/>
        </w:rPr>
        <w:t>o</w:t>
      </w:r>
      <w:r w:rsidR="00F64D73">
        <w:rPr>
          <w:sz w:val="22"/>
        </w:rPr>
        <w:t>, such that [B] is kept low.</w:t>
      </w:r>
    </w:p>
    <w:p w:rsidR="00D1452B" w:rsidRDefault="00D1452B">
      <w:pPr>
        <w:ind w:left="288" w:hanging="288"/>
        <w:jc w:val="both"/>
        <w:rPr>
          <w:b/>
          <w:sz w:val="22"/>
        </w:rPr>
      </w:pPr>
    </w:p>
    <w:p w:rsidR="001B3B81" w:rsidRDefault="001B3B81">
      <w:pPr>
        <w:ind w:left="288" w:hanging="288"/>
        <w:jc w:val="both"/>
        <w:rPr>
          <w:b/>
          <w:sz w:val="22"/>
        </w:rPr>
      </w:pPr>
    </w:p>
    <w:p w:rsidR="00D1452B" w:rsidRDefault="00D1452B">
      <w:pPr>
        <w:ind w:left="288" w:hanging="288"/>
        <w:jc w:val="both"/>
        <w:rPr>
          <w:b/>
          <w:sz w:val="22"/>
        </w:rPr>
      </w:pPr>
    </w:p>
    <w:p w:rsidR="00B92748" w:rsidRDefault="00B92748">
      <w:pPr>
        <w:ind w:left="288" w:hanging="288"/>
        <w:jc w:val="both"/>
        <w:rPr>
          <w:b/>
          <w:sz w:val="22"/>
        </w:rPr>
      </w:pPr>
    </w:p>
    <w:p w:rsidR="00B92748" w:rsidRDefault="00B92748">
      <w:pPr>
        <w:ind w:left="288" w:hanging="288"/>
        <w:jc w:val="both"/>
        <w:rPr>
          <w:b/>
          <w:sz w:val="22"/>
        </w:rPr>
      </w:pPr>
    </w:p>
    <w:p w:rsidR="00B92748" w:rsidRDefault="00B92748">
      <w:pPr>
        <w:ind w:left="288" w:hanging="288"/>
        <w:jc w:val="both"/>
        <w:rPr>
          <w:b/>
          <w:sz w:val="22"/>
        </w:rPr>
      </w:pPr>
    </w:p>
    <w:p w:rsidR="00B92748" w:rsidRDefault="00B92748">
      <w:pPr>
        <w:ind w:left="288" w:hanging="288"/>
        <w:jc w:val="both"/>
        <w:rPr>
          <w:b/>
          <w:sz w:val="22"/>
        </w:rPr>
      </w:pPr>
    </w:p>
    <w:p w:rsidR="00FE3384" w:rsidRDefault="00FE3384">
      <w:pPr>
        <w:ind w:left="288" w:hanging="288"/>
        <w:jc w:val="both"/>
        <w:rPr>
          <w:b/>
          <w:sz w:val="22"/>
        </w:rPr>
      </w:pPr>
    </w:p>
    <w:p w:rsidR="00DD5B84" w:rsidRDefault="00B92748" w:rsidP="001B3B81">
      <w:pPr>
        <w:ind w:left="288" w:hanging="288"/>
        <w:jc w:val="both"/>
        <w:rPr>
          <w:sz w:val="22"/>
        </w:rPr>
      </w:pPr>
      <w:r>
        <w:rPr>
          <w:noProof/>
          <w:sz w:val="22"/>
        </w:rPr>
        <w:pict>
          <v:shape id="_x0000_s1038" type="#_x0000_t75" style="position:absolute;left:0;text-align:left;margin-left:401.4pt;margin-top:1.55pt;width:102.1pt;height:104.2pt;z-index:251658240" fillcolor="window">
            <v:imagedata r:id="rId22" o:title=""/>
            <w10:wrap type="square"/>
          </v:shape>
          <o:OLEObject Type="Embed" ProgID="Equation.3" ShapeID="_x0000_s1038" DrawAspect="Content" ObjectID="_1426365612" r:id="rId23"/>
        </w:pict>
      </w:r>
      <w:r w:rsidR="00F64D73">
        <w:rPr>
          <w:b/>
          <w:sz w:val="22"/>
        </w:rPr>
        <w:t>Example problem in i</w:t>
      </w:r>
      <w:r w:rsidR="00D1452B">
        <w:rPr>
          <w:b/>
          <w:sz w:val="22"/>
        </w:rPr>
        <w:t>ndi</w:t>
      </w:r>
      <w:r w:rsidR="00F64D73">
        <w:rPr>
          <w:b/>
          <w:sz w:val="22"/>
        </w:rPr>
        <w:t xml:space="preserve">rect coupling:  </w:t>
      </w:r>
      <w:r w:rsidR="00D1452B">
        <w:rPr>
          <w:sz w:val="22"/>
        </w:rPr>
        <w:t>In the pathway: A</w:t>
      </w:r>
      <w:r w:rsidR="00D1452B">
        <w:rPr>
          <w:sz w:val="22"/>
        </w:rPr>
        <w:sym w:font="Symbol" w:char="F0AE"/>
      </w:r>
      <w:r w:rsidR="00D1452B">
        <w:rPr>
          <w:sz w:val="22"/>
        </w:rPr>
        <w:t>B</w:t>
      </w:r>
      <w:r w:rsidR="00DD5B84">
        <w:rPr>
          <w:sz w:val="22"/>
        </w:rPr>
        <w:t>:</w:t>
      </w:r>
    </w:p>
    <w:p w:rsidR="00DD5B84" w:rsidRDefault="00DD5B84" w:rsidP="001B3B81">
      <w:pPr>
        <w:ind w:left="288" w:hanging="288"/>
        <w:jc w:val="both"/>
        <w:rPr>
          <w:sz w:val="22"/>
        </w:rPr>
      </w:pPr>
      <w:r>
        <w:rPr>
          <w:sz w:val="22"/>
        </w:rPr>
        <w:t>C</w:t>
      </w:r>
      <w:r w:rsidR="00D1452B">
        <w:rPr>
          <w:sz w:val="22"/>
        </w:rPr>
        <w:t xml:space="preserve">oncentration of [A] is 1 </w:t>
      </w:r>
      <w:proofErr w:type="spellStart"/>
      <w:r w:rsidR="00D1452B">
        <w:rPr>
          <w:sz w:val="22"/>
        </w:rPr>
        <w:t>mM</w:t>
      </w:r>
      <w:proofErr w:type="spellEnd"/>
      <w:r w:rsidR="00D1452B">
        <w:rPr>
          <w:sz w:val="22"/>
        </w:rPr>
        <w:t xml:space="preserve"> unde</w:t>
      </w:r>
      <w:r>
        <w:rPr>
          <w:sz w:val="22"/>
        </w:rPr>
        <w:t>r normal metabolic conditions.</w:t>
      </w:r>
    </w:p>
    <w:p w:rsidR="00D1452B" w:rsidRDefault="00DD5B84" w:rsidP="00FE3384">
      <w:pPr>
        <w:jc w:val="both"/>
        <w:rPr>
          <w:sz w:val="22"/>
        </w:rPr>
      </w:pPr>
      <w:r>
        <w:rPr>
          <w:sz w:val="22"/>
        </w:rPr>
        <w:t>S</w:t>
      </w:r>
      <w:r w:rsidR="00D1452B">
        <w:rPr>
          <w:sz w:val="22"/>
        </w:rPr>
        <w:t>tandard free energy</w:t>
      </w:r>
      <w:r w:rsidR="00F64D73">
        <w:rPr>
          <w:sz w:val="22"/>
        </w:rPr>
        <w:t xml:space="preserve">, </w:t>
      </w:r>
      <w:proofErr w:type="spellStart"/>
      <w:r w:rsidR="00F64D73">
        <w:rPr>
          <w:sz w:val="22"/>
        </w:rPr>
        <w:t>ΔG</w:t>
      </w:r>
      <w:r w:rsidR="00F64D73">
        <w:rPr>
          <w:sz w:val="22"/>
          <w:vertAlign w:val="superscript"/>
        </w:rPr>
        <w:t>o</w:t>
      </w:r>
      <w:proofErr w:type="spellEnd"/>
      <w:r w:rsidR="00F64D73">
        <w:rPr>
          <w:sz w:val="22"/>
        </w:rPr>
        <w:t>,</w:t>
      </w:r>
      <w:r w:rsidR="00D1452B">
        <w:rPr>
          <w:sz w:val="22"/>
        </w:rPr>
        <w:t xml:space="preserve"> of the first reaction (A</w:t>
      </w:r>
      <w:r w:rsidR="00D1452B">
        <w:rPr>
          <w:sz w:val="22"/>
        </w:rPr>
        <w:sym w:font="Symbol" w:char="F0AE"/>
      </w:r>
      <w:r>
        <w:rPr>
          <w:sz w:val="22"/>
        </w:rPr>
        <w:t xml:space="preserve">B) is </w:t>
      </w:r>
      <w:proofErr w:type="gramStart"/>
      <w:r>
        <w:rPr>
          <w:sz w:val="22"/>
        </w:rPr>
        <w:t>+5.75 kJ/mol</w:t>
      </w:r>
      <w:proofErr w:type="gramEnd"/>
      <w:r>
        <w:rPr>
          <w:sz w:val="22"/>
        </w:rPr>
        <w:t>.</w:t>
      </w:r>
      <w:r w:rsidR="009708E8">
        <w:rPr>
          <w:sz w:val="22"/>
        </w:rPr>
        <w:t xml:space="preserve"> </w:t>
      </w:r>
      <w:r>
        <w:rPr>
          <w:sz w:val="22"/>
        </w:rPr>
        <w:t xml:space="preserve">What is the </w:t>
      </w:r>
      <w:r w:rsidR="00D1452B">
        <w:rPr>
          <w:i/>
          <w:sz w:val="22"/>
        </w:rPr>
        <w:t>direction</w:t>
      </w:r>
      <w:r>
        <w:rPr>
          <w:sz w:val="22"/>
        </w:rPr>
        <w:t xml:space="preserve"> of the reaction </w:t>
      </w:r>
      <w:r w:rsidR="00120F73">
        <w:rPr>
          <w:sz w:val="22"/>
        </w:rPr>
        <w:t>if the concentration</w:t>
      </w:r>
      <w:r w:rsidR="00D1452B">
        <w:rPr>
          <w:sz w:val="22"/>
        </w:rPr>
        <w:t xml:space="preserve"> of [B] </w:t>
      </w:r>
      <w:r w:rsidR="00F64D73">
        <w:rPr>
          <w:sz w:val="22"/>
        </w:rPr>
        <w:t>is 10</w:t>
      </w:r>
      <w:r w:rsidR="00F64D73">
        <w:rPr>
          <w:sz w:val="22"/>
          <w:vertAlign w:val="superscript"/>
        </w:rPr>
        <w:t>-5</w:t>
      </w:r>
      <w:r>
        <w:rPr>
          <w:sz w:val="22"/>
        </w:rPr>
        <w:t xml:space="preserve"> M?</w:t>
      </w:r>
      <w:r w:rsidR="009708E8">
        <w:rPr>
          <w:sz w:val="22"/>
        </w:rPr>
        <w:t xml:space="preserve"> </w:t>
      </w:r>
      <w:r w:rsidR="00D1452B">
        <w:rPr>
          <w:sz w:val="22"/>
        </w:rPr>
        <w:t>Assume RT=2.5 kJ/mol (T~300K)</w:t>
      </w:r>
      <w:r w:rsidR="001B3B81">
        <w:rPr>
          <w:sz w:val="22"/>
        </w:rPr>
        <w:t>.</w:t>
      </w:r>
    </w:p>
    <w:sectPr w:rsidR="00D1452B" w:rsidSect="00130E02">
      <w:headerReference w:type="default" r:id="rId24"/>
      <w:footerReference w:type="even" r:id="rId25"/>
      <w:footerReference w:type="default" r:id="rId26"/>
      <w:type w:val="continuous"/>
      <w:pgSz w:w="12240" w:h="15840"/>
      <w:pgMar w:top="864" w:right="1080" w:bottom="72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30" w:rsidRDefault="00303A30">
      <w:r>
        <w:separator/>
      </w:r>
    </w:p>
  </w:endnote>
  <w:endnote w:type="continuationSeparator" w:id="0">
    <w:p w:rsidR="00303A30" w:rsidRDefault="0030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73" w:rsidRDefault="00F64D73" w:rsidP="008638E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4D73" w:rsidRDefault="00F64D73" w:rsidP="00F64D7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2B" w:rsidRDefault="00D1452B" w:rsidP="00F64D7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748">
      <w:rPr>
        <w:rStyle w:val="PageNumber"/>
        <w:noProof/>
      </w:rPr>
      <w:t>1</w:t>
    </w:r>
    <w:r>
      <w:rPr>
        <w:rStyle w:val="PageNumber"/>
      </w:rPr>
      <w:fldChar w:fldCharType="end"/>
    </w:r>
  </w:p>
  <w:p w:rsidR="00D1452B" w:rsidRDefault="00D1452B" w:rsidP="00F64D7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30" w:rsidRDefault="00303A30">
      <w:r>
        <w:separator/>
      </w:r>
    </w:p>
  </w:footnote>
  <w:footnote w:type="continuationSeparator" w:id="0">
    <w:p w:rsidR="00303A30" w:rsidRDefault="0030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2B" w:rsidRDefault="00D1452B">
    <w:pPr>
      <w:pStyle w:val="Header"/>
      <w:rPr>
        <w:i/>
      </w:rPr>
    </w:pPr>
    <w:r>
      <w:rPr>
        <w:i/>
      </w:rPr>
      <w:t xml:space="preserve">Biochemistry I, Spring Term                                      Lecture 28                     </w:t>
    </w:r>
    <w:r w:rsidR="00F25101">
      <w:rPr>
        <w:i/>
      </w:rPr>
      <w:t xml:space="preserve">   </w:t>
    </w:r>
    <w:r w:rsidR="00EE7103">
      <w:rPr>
        <w:i/>
      </w:rPr>
      <w:t xml:space="preserve"> </w:t>
    </w:r>
    <w:r w:rsidR="00110BFD">
      <w:rPr>
        <w:i/>
      </w:rPr>
      <w:t xml:space="preserve">                     April 1,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AD6D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606D94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3">
    <w:nsid w:val="0FA56C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406E5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A3BC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136776"/>
    <w:multiLevelType w:val="hybridMultilevel"/>
    <w:tmpl w:val="DAD6F2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5A5C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6E7F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6FE25BC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10">
    <w:nsid w:val="2E470A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162089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12">
    <w:nsid w:val="37991D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D569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E768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D3D11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0A11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6573B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273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99516F0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20">
    <w:nsid w:val="4A71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E3F08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E5F4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E7D57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1C543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21403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47C69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67C21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8EF07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7C2E76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30">
    <w:nsid w:val="65FF347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81960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BA568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0717D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16C0B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17D1F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6724805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37">
    <w:nsid w:val="774D0D6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C0934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A462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20"/>
  </w:num>
  <w:num w:numId="3">
    <w:abstractNumId w:val="31"/>
  </w:num>
  <w:num w:numId="4">
    <w:abstractNumId w:val="39"/>
  </w:num>
  <w:num w:numId="5">
    <w:abstractNumId w:val="17"/>
  </w:num>
  <w:num w:numId="6">
    <w:abstractNumId w:val="33"/>
  </w:num>
  <w:num w:numId="7">
    <w:abstractNumId w:val="12"/>
  </w:num>
  <w:num w:numId="8">
    <w:abstractNumId w:val="28"/>
  </w:num>
  <w:num w:numId="9">
    <w:abstractNumId w:val="35"/>
  </w:num>
  <w:num w:numId="10">
    <w:abstractNumId w:val="27"/>
  </w:num>
  <w:num w:numId="11">
    <w:abstractNumId w:val="7"/>
  </w:num>
  <w:num w:numId="12">
    <w:abstractNumId w:val="15"/>
  </w:num>
  <w:num w:numId="13">
    <w:abstractNumId w:val="24"/>
  </w:num>
  <w:num w:numId="14">
    <w:abstractNumId w:val="38"/>
  </w:num>
  <w:num w:numId="15">
    <w:abstractNumId w:val="1"/>
  </w:num>
  <w:num w:numId="16">
    <w:abstractNumId w:val="13"/>
  </w:num>
  <w:num w:numId="17">
    <w:abstractNumId w:val="8"/>
  </w:num>
  <w:num w:numId="18">
    <w:abstractNumId w:val="22"/>
  </w:num>
  <w:num w:numId="19">
    <w:abstractNumId w:val="10"/>
  </w:num>
  <w:num w:numId="20">
    <w:abstractNumId w:val="25"/>
  </w:num>
  <w:num w:numId="21">
    <w:abstractNumId w:val="23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>
    <w:abstractNumId w:val="21"/>
  </w:num>
  <w:num w:numId="24">
    <w:abstractNumId w:val="3"/>
  </w:num>
  <w:num w:numId="25">
    <w:abstractNumId w:val="18"/>
  </w:num>
  <w:num w:numId="26">
    <w:abstractNumId w:val="29"/>
  </w:num>
  <w:num w:numId="27">
    <w:abstractNumId w:val="9"/>
  </w:num>
  <w:num w:numId="28">
    <w:abstractNumId w:val="26"/>
  </w:num>
  <w:num w:numId="29">
    <w:abstractNumId w:val="14"/>
  </w:num>
  <w:num w:numId="30">
    <w:abstractNumId w:val="34"/>
  </w:num>
  <w:num w:numId="31">
    <w:abstractNumId w:val="37"/>
  </w:num>
  <w:num w:numId="32">
    <w:abstractNumId w:val="30"/>
  </w:num>
  <w:num w:numId="33">
    <w:abstractNumId w:val="36"/>
  </w:num>
  <w:num w:numId="34">
    <w:abstractNumId w:val="19"/>
  </w:num>
  <w:num w:numId="35">
    <w:abstractNumId w:val="4"/>
  </w:num>
  <w:num w:numId="36">
    <w:abstractNumId w:val="5"/>
  </w:num>
  <w:num w:numId="37">
    <w:abstractNumId w:val="11"/>
  </w:num>
  <w:num w:numId="38">
    <w:abstractNumId w:val="2"/>
  </w:num>
  <w:num w:numId="39">
    <w:abstractNumId w:val="16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107"/>
    <w:rsid w:val="00054D8E"/>
    <w:rsid w:val="00056C64"/>
    <w:rsid w:val="00103AB2"/>
    <w:rsid w:val="00110BFD"/>
    <w:rsid w:val="00120F73"/>
    <w:rsid w:val="00130E02"/>
    <w:rsid w:val="001B3B81"/>
    <w:rsid w:val="001C4AE3"/>
    <w:rsid w:val="001E3567"/>
    <w:rsid w:val="00212969"/>
    <w:rsid w:val="0025469D"/>
    <w:rsid w:val="002C6381"/>
    <w:rsid w:val="002F4107"/>
    <w:rsid w:val="00303A30"/>
    <w:rsid w:val="003D7E33"/>
    <w:rsid w:val="003F75C7"/>
    <w:rsid w:val="00412A6E"/>
    <w:rsid w:val="0043372C"/>
    <w:rsid w:val="0048499E"/>
    <w:rsid w:val="005012B2"/>
    <w:rsid w:val="00590D51"/>
    <w:rsid w:val="005F2E84"/>
    <w:rsid w:val="005F34E5"/>
    <w:rsid w:val="00613EC5"/>
    <w:rsid w:val="00643557"/>
    <w:rsid w:val="006A5D59"/>
    <w:rsid w:val="006B35C1"/>
    <w:rsid w:val="0071757E"/>
    <w:rsid w:val="0072214C"/>
    <w:rsid w:val="007A2EED"/>
    <w:rsid w:val="008638E4"/>
    <w:rsid w:val="008659B2"/>
    <w:rsid w:val="009708E8"/>
    <w:rsid w:val="009F6AC5"/>
    <w:rsid w:val="00A4563C"/>
    <w:rsid w:val="00AC470A"/>
    <w:rsid w:val="00AD7FE4"/>
    <w:rsid w:val="00B05021"/>
    <w:rsid w:val="00B26EDD"/>
    <w:rsid w:val="00B3047B"/>
    <w:rsid w:val="00B34E38"/>
    <w:rsid w:val="00B92748"/>
    <w:rsid w:val="00C23EA0"/>
    <w:rsid w:val="00C7172A"/>
    <w:rsid w:val="00C7667A"/>
    <w:rsid w:val="00CF201F"/>
    <w:rsid w:val="00D1452B"/>
    <w:rsid w:val="00DD5B84"/>
    <w:rsid w:val="00DE7D06"/>
    <w:rsid w:val="00E20E48"/>
    <w:rsid w:val="00EE7103"/>
    <w:rsid w:val="00F25101"/>
    <w:rsid w:val="00F5620F"/>
    <w:rsid w:val="00F64D73"/>
    <w:rsid w:val="00FD26E7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initionList">
    <w:name w:val="Definition List"/>
    <w:basedOn w:val="Normal"/>
    <w:next w:val="Normal"/>
    <w:pPr>
      <w:widowControl w:val="0"/>
      <w:ind w:left="360"/>
    </w:pPr>
    <w:rPr>
      <w:rFonts w:ascii="Times" w:hAnsi="Times"/>
      <w:sz w:val="24"/>
    </w:rPr>
  </w:style>
  <w:style w:type="table" w:styleId="TableGrid">
    <w:name w:val="Table Grid"/>
    <w:basedOn w:val="TableNormal"/>
    <w:rsid w:val="007A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Chemistry in Biological Processes:</vt:lpstr>
    </vt:vector>
  </TitlesOfParts>
  <Company>Carnegie Mellon University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Chemistry in Biological Processes:</dc:title>
  <dc:creator>Administrator</dc:creator>
  <cp:lastModifiedBy>Gordon Rule</cp:lastModifiedBy>
  <cp:revision>5</cp:revision>
  <cp:lastPrinted>2012-03-29T18:24:00Z</cp:lastPrinted>
  <dcterms:created xsi:type="dcterms:W3CDTF">2012-03-30T12:17:00Z</dcterms:created>
  <dcterms:modified xsi:type="dcterms:W3CDTF">2013-04-02T03:53:00Z</dcterms:modified>
</cp:coreProperties>
</file>