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46A5" w:rsidRPr="006C7918" w:rsidRDefault="006C7918" w:rsidP="006C7918">
      <w:pPr>
        <w:spacing w:before="0"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margin-left:378.35pt;margin-top:-7.75pt;width:159.45pt;height:203.5pt;z-index:251662848;mso-wrap-distance-left:50.4pt;mso-position-horizontal-relative:text;mso-position-vertical-relative:text">
            <v:imagedata r:id="rId8" o:title=""/>
            <w10:wrap type="square"/>
          </v:shape>
          <o:OLEObject Type="Embed" ProgID="Excel.Sheet.12" ShapeID="_x0000_s1073" DrawAspect="Content" ObjectID="_1422729998" r:id="rId9"/>
        </w:pict>
      </w:r>
      <w:r w:rsidR="00CC4716" w:rsidRPr="006C7918">
        <w:rPr>
          <w:rFonts w:ascii="Times New Roman" w:hAnsi="Times New Roman"/>
          <w:b/>
          <w:sz w:val="28"/>
          <w:szCs w:val="28"/>
        </w:rPr>
        <w:t>Lecture 16: Enzyme Mechanism</w:t>
      </w:r>
      <w:r w:rsidR="00CC4716" w:rsidRPr="006C7918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7146A5" w:rsidRPr="006C7918">
        <w:rPr>
          <w:rFonts w:ascii="Times New Roman" w:hAnsi="Times New Roman"/>
          <w:b/>
          <w:sz w:val="28"/>
          <w:szCs w:val="28"/>
        </w:rPr>
        <w:t>Serine Proteases</w:t>
      </w:r>
    </w:p>
    <w:p w:rsidR="007146A5" w:rsidRPr="00BB7122" w:rsidRDefault="00D923CD" w:rsidP="006C7918">
      <w:pPr>
        <w:spacing w:before="0" w:after="0"/>
        <w:ind w:right="144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Reading: </w:t>
      </w:r>
      <w:r w:rsidR="000650F6">
        <w:rPr>
          <w:rFonts w:ascii="Times New Roman" w:hAnsi="Times New Roman"/>
          <w:sz w:val="22"/>
          <w:lang w:val="en-US"/>
        </w:rPr>
        <w:t xml:space="preserve">Horton: 6.7     </w:t>
      </w:r>
      <w:r w:rsidR="00BB7122">
        <w:rPr>
          <w:rFonts w:ascii="Times New Roman" w:hAnsi="Times New Roman"/>
          <w:sz w:val="22"/>
          <w:lang w:val="en-US"/>
        </w:rPr>
        <w:t>Nelson and Cox: Chapter 6</w:t>
      </w:r>
    </w:p>
    <w:p w:rsidR="006C7918" w:rsidRDefault="007146A5" w:rsidP="006C7918">
      <w:pPr>
        <w:spacing w:before="0" w:after="0"/>
        <w:ind w:right="14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Key Terms:</w:t>
      </w:r>
    </w:p>
    <w:p w:rsidR="006C7918" w:rsidRPr="00B75362" w:rsidRDefault="006C7918" w:rsidP="006C7918">
      <w:pPr>
        <w:numPr>
          <w:ilvl w:val="0"/>
          <w:numId w:val="30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lang w:val="en-US"/>
        </w:rPr>
        <w:t>Transition state stabilization: Entropic</w:t>
      </w:r>
    </w:p>
    <w:p w:rsidR="00B75362" w:rsidRDefault="00B75362" w:rsidP="00B75362">
      <w:pPr>
        <w:spacing w:before="0" w:after="0"/>
        <w:ind w:left="360"/>
        <w:rPr>
          <w:rFonts w:ascii="Times New Roman" w:hAnsi="Times New Roman"/>
          <w:b/>
          <w:sz w:val="22"/>
        </w:rPr>
      </w:pPr>
    </w:p>
    <w:p w:rsidR="007146A5" w:rsidRPr="00B75362" w:rsidRDefault="007146A5" w:rsidP="006C7918">
      <w:pPr>
        <w:numPr>
          <w:ilvl w:val="0"/>
          <w:numId w:val="30"/>
        </w:numPr>
        <w:spacing w:before="0" w:after="0"/>
        <w:ind w:right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lang w:val="en-US"/>
        </w:rPr>
        <w:t>Transition state stabilization: Enthaplic</w:t>
      </w:r>
    </w:p>
    <w:p w:rsidR="00B75362" w:rsidRDefault="00B75362" w:rsidP="00B75362">
      <w:pPr>
        <w:spacing w:before="0" w:after="0"/>
        <w:ind w:left="360" w:right="1440"/>
        <w:rPr>
          <w:rFonts w:ascii="Times New Roman" w:hAnsi="Times New Roman"/>
          <w:b/>
          <w:sz w:val="22"/>
        </w:rPr>
      </w:pPr>
    </w:p>
    <w:p w:rsidR="007146A5" w:rsidRDefault="007146A5" w:rsidP="006C7918">
      <w:pPr>
        <w:numPr>
          <w:ilvl w:val="0"/>
          <w:numId w:val="30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Acyl-enzyme intermediate </w:t>
      </w:r>
    </w:p>
    <w:p w:rsidR="007146A5" w:rsidRDefault="007146A5" w:rsidP="006C7918">
      <w:pPr>
        <w:numPr>
          <w:ilvl w:val="0"/>
          <w:numId w:val="30"/>
        </w:numPr>
        <w:spacing w:before="0" w:after="0"/>
        <w:rPr>
          <w:rFonts w:ascii="Times New Roman" w:hAnsi="Times New Roman"/>
          <w:b/>
          <w:sz w:val="22"/>
          <w:lang w:val="en-US"/>
        </w:rPr>
      </w:pPr>
      <w:r>
        <w:rPr>
          <w:rFonts w:ascii="Times New Roman" w:hAnsi="Times New Roman"/>
          <w:b/>
          <w:sz w:val="22"/>
        </w:rPr>
        <w:t xml:space="preserve">Nucleophilic agent </w:t>
      </w:r>
    </w:p>
    <w:p w:rsidR="007146A5" w:rsidRDefault="007146A5" w:rsidP="006C7918">
      <w:pPr>
        <w:numPr>
          <w:ilvl w:val="0"/>
          <w:numId w:val="30"/>
        </w:numPr>
        <w:spacing w:before="0" w:after="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b/>
          <w:sz w:val="22"/>
        </w:rPr>
        <w:t>Catalytic</w:t>
      </w:r>
      <w:r>
        <w:rPr>
          <w:rFonts w:ascii="Times New Roman" w:hAnsi="Times New Roman"/>
          <w:b/>
          <w:sz w:val="22"/>
          <w:lang w:val="en-US"/>
        </w:rPr>
        <w:t xml:space="preserve"> </w:t>
      </w:r>
      <w:r>
        <w:rPr>
          <w:rFonts w:ascii="Times New Roman" w:hAnsi="Times New Roman"/>
          <w:b/>
          <w:sz w:val="22"/>
        </w:rPr>
        <w:t>triad</w:t>
      </w:r>
      <w:r>
        <w:rPr>
          <w:rFonts w:ascii="Times New Roman" w:hAnsi="Times New Roman"/>
          <w:b/>
          <w:sz w:val="22"/>
          <w:lang w:val="en-US"/>
        </w:rPr>
        <w:t xml:space="preserve"> (Ser, His, Asp)</w:t>
      </w:r>
    </w:p>
    <w:p w:rsidR="006C7918" w:rsidRPr="006C7918" w:rsidRDefault="007146A5" w:rsidP="006C7918">
      <w:pPr>
        <w:numPr>
          <w:ilvl w:val="0"/>
          <w:numId w:val="30"/>
        </w:numPr>
        <w:spacing w:before="0" w:after="0"/>
        <w:ind w:right="4752"/>
        <w:jc w:val="both"/>
        <w:rPr>
          <w:rFonts w:ascii="Times New Roman" w:hAnsi="Times New Roman"/>
          <w:sz w:val="22"/>
        </w:rPr>
      </w:pPr>
      <w:r w:rsidRPr="006C7918">
        <w:rPr>
          <w:rFonts w:ascii="Times New Roman" w:hAnsi="Times New Roman"/>
          <w:b/>
          <w:sz w:val="22"/>
          <w:lang w:val="en-US"/>
        </w:rPr>
        <w:t>Substrate specificity</w:t>
      </w:r>
    </w:p>
    <w:p w:rsidR="00D923CD" w:rsidRPr="006C7918" w:rsidRDefault="00D923CD" w:rsidP="00770C55">
      <w:pPr>
        <w:spacing w:before="60" w:after="0"/>
        <w:ind w:left="360" w:right="4752"/>
        <w:jc w:val="both"/>
        <w:rPr>
          <w:rFonts w:ascii="Times New Roman" w:hAnsi="Times New Roman"/>
          <w:sz w:val="22"/>
        </w:rPr>
      </w:pPr>
      <w:r w:rsidRPr="006C7918">
        <w:rPr>
          <w:rFonts w:ascii="Times New Roman" w:hAnsi="Times New Roman"/>
          <w:sz w:val="22"/>
        </w:rPr>
        <w:t xml:space="preserve">Serine proteases play an important role in many processes, </w:t>
      </w:r>
      <w:r w:rsidRPr="006C7918">
        <w:rPr>
          <w:rFonts w:ascii="Times New Roman" w:hAnsi="Times New Roman"/>
          <w:i/>
          <w:sz w:val="22"/>
        </w:rPr>
        <w:t>e.g.</w:t>
      </w:r>
      <w:r w:rsidRPr="006C7918">
        <w:rPr>
          <w:rFonts w:ascii="Times New Roman" w:hAnsi="Times New Roman"/>
          <w:sz w:val="22"/>
        </w:rPr>
        <w:t xml:space="preserve"> digestion of dietary protein, blood clotting cascade, and in several pathways of differentiation and development.</w:t>
      </w:r>
      <w:r w:rsidRPr="006C7918">
        <w:rPr>
          <w:rFonts w:ascii="Times New Roman" w:hAnsi="Times New Roman"/>
          <w:sz w:val="22"/>
          <w:lang w:val="en-US"/>
        </w:rPr>
        <w:t xml:space="preserve">  They are generally produced as inactive </w:t>
      </w:r>
      <w:r w:rsidRPr="006C7918">
        <w:rPr>
          <w:rFonts w:ascii="Times New Roman" w:hAnsi="Times New Roman"/>
          <w:b/>
          <w:sz w:val="22"/>
          <w:lang w:val="en-US"/>
        </w:rPr>
        <w:t>zymogens</w:t>
      </w:r>
      <w:r w:rsidRPr="006C7918">
        <w:rPr>
          <w:rFonts w:ascii="Times New Roman" w:hAnsi="Times New Roman"/>
          <w:sz w:val="22"/>
          <w:lang w:val="en-US"/>
        </w:rPr>
        <w:t xml:space="preserve">, and auto-activate by peptide cleavage to form the active enzyme. </w:t>
      </w:r>
      <w:r w:rsidRPr="006C7918">
        <w:rPr>
          <w:rFonts w:ascii="Times New Roman" w:hAnsi="Times New Roman"/>
          <w:sz w:val="22"/>
        </w:rPr>
        <w:t xml:space="preserve">Proteases active in digestion include: </w:t>
      </w:r>
    </w:p>
    <w:p w:rsidR="00D923CD" w:rsidRDefault="00D923CD" w:rsidP="00B75362">
      <w:pPr>
        <w:tabs>
          <w:tab w:val="num" w:pos="720"/>
        </w:tabs>
        <w:spacing w:before="60" w:after="0"/>
        <w:ind w:right="2592"/>
        <w:jc w:val="both"/>
        <w:outlineLvl w:val="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>Trypsin</w:t>
      </w:r>
      <w:r>
        <w:rPr>
          <w:rFonts w:ascii="Times New Roman" w:hAnsi="Times New Roman"/>
          <w:sz w:val="22"/>
          <w:lang w:val="en-US"/>
        </w:rPr>
        <w:t xml:space="preserve">                     </w:t>
      </w:r>
      <w:r>
        <w:rPr>
          <w:rFonts w:ascii="Times New Roman" w:hAnsi="Times New Roman"/>
          <w:sz w:val="22"/>
        </w:rPr>
        <w:t>Chymotrypsin</w:t>
      </w:r>
      <w:r>
        <w:rPr>
          <w:rFonts w:ascii="Times New Roman" w:hAnsi="Times New Roman"/>
          <w:sz w:val="22"/>
          <w:lang w:val="en-US"/>
        </w:rPr>
        <w:t xml:space="preserve">                       </w:t>
      </w:r>
      <w:r>
        <w:rPr>
          <w:rFonts w:ascii="Times New Roman" w:hAnsi="Times New Roman"/>
          <w:sz w:val="22"/>
        </w:rPr>
        <w:t>Elastase</w:t>
      </w:r>
    </w:p>
    <w:p w:rsidR="00B75362" w:rsidRDefault="00B75362" w:rsidP="00D923CD">
      <w:pPr>
        <w:spacing w:before="120" w:after="0"/>
        <w:rPr>
          <w:rFonts w:ascii="Times New Roman" w:hAnsi="Times New Roman"/>
          <w:b/>
          <w:sz w:val="22"/>
          <w:lang w:val="en-US"/>
        </w:rPr>
      </w:pPr>
    </w:p>
    <w:p w:rsidR="00B75362" w:rsidRDefault="00B75362" w:rsidP="00D923CD">
      <w:pPr>
        <w:spacing w:before="120" w:after="0"/>
        <w:rPr>
          <w:rFonts w:ascii="Times New Roman" w:hAnsi="Times New Roman"/>
          <w:b/>
          <w:sz w:val="22"/>
          <w:lang w:val="en-US"/>
        </w:rPr>
      </w:pPr>
    </w:p>
    <w:p w:rsidR="00B75362" w:rsidRDefault="00B75362" w:rsidP="00D923CD">
      <w:pPr>
        <w:spacing w:before="120" w:after="0"/>
        <w:rPr>
          <w:rFonts w:ascii="Times New Roman" w:hAnsi="Times New Roman"/>
          <w:b/>
          <w:sz w:val="22"/>
          <w:lang w:val="en-US"/>
        </w:rPr>
      </w:pPr>
    </w:p>
    <w:p w:rsidR="00D923CD" w:rsidRDefault="00D923CD" w:rsidP="00D923CD">
      <w:pPr>
        <w:spacing w:before="120" w:after="0"/>
        <w:rPr>
          <w:rFonts w:ascii="Times New Roman" w:hAnsi="Times New Roman"/>
          <w:b/>
          <w:sz w:val="22"/>
        </w:rPr>
      </w:pPr>
      <w:r>
        <w:rPr>
          <w:sz w:val="22"/>
          <w:u w:val="single"/>
        </w:rPr>
        <w:pict>
          <v:shape id="_x0000_s1066" type="#_x0000_t75" style="position:absolute;margin-left:230.45pt;margin-top:11.65pt;width:275.25pt;height:53.75pt;z-index:251655680;mso-wrap-distance-left:28.8pt;mso-wrap-distance-right:0;mso-wrap-distance-bottom:28.8pt">
            <v:imagedata r:id="rId10" o:title=""/>
            <w10:wrap type="square" side="left"/>
          </v:shape>
          <o:OLEObject Type="Embed" ProgID="ISISServer" ShapeID="_x0000_s1066" DrawAspect="Content" ObjectID="_1422729999" r:id="rId11"/>
        </w:pict>
      </w:r>
      <w:r>
        <w:rPr>
          <w:rFonts w:ascii="Times New Roman" w:hAnsi="Times New Roman"/>
          <w:b/>
          <w:sz w:val="22"/>
          <w:lang w:val="en-US"/>
        </w:rPr>
        <w:t>Reactions Catalyzed:</w:t>
      </w:r>
    </w:p>
    <w:p w:rsidR="00D923CD" w:rsidRDefault="00D923CD" w:rsidP="00D923CD">
      <w:pPr>
        <w:spacing w:before="0" w:after="0"/>
        <w:ind w:right="2592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 xml:space="preserve">Serine Proteases can hydrolyze </w:t>
      </w:r>
      <w:r>
        <w:rPr>
          <w:rFonts w:ascii="Times New Roman" w:hAnsi="Times New Roman"/>
          <w:i/>
          <w:sz w:val="22"/>
        </w:rPr>
        <w:t>either</w:t>
      </w:r>
      <w:r>
        <w:rPr>
          <w:rFonts w:ascii="Times New Roman" w:hAnsi="Times New Roman"/>
          <w:sz w:val="22"/>
        </w:rPr>
        <w:t xml:space="preserve"> esters or peptide bonds</w:t>
      </w:r>
      <w:r>
        <w:rPr>
          <w:rFonts w:ascii="Times New Roman" w:hAnsi="Times New Roman"/>
          <w:sz w:val="22"/>
          <w:lang w:val="en-US"/>
        </w:rPr>
        <w:t>:</w:t>
      </w:r>
    </w:p>
    <w:p w:rsidR="00D923CD" w:rsidRDefault="00D923CD" w:rsidP="00D923CD">
      <w:pPr>
        <w:spacing w:before="120" w:after="0"/>
        <w:ind w:left="288" w:right="2592"/>
        <w:rPr>
          <w:rFonts w:ascii="Times New Roman" w:hAnsi="Times New Roman"/>
          <w:sz w:val="22"/>
          <w:lang w:val="en-US"/>
        </w:rPr>
      </w:pPr>
      <w:r>
        <w:pict>
          <v:shape id="_x0000_s1067" type="#_x0000_t75" style="position:absolute;left:0;text-align:left;margin-left:225.2pt;margin-top:30.7pt;width:239.25pt;height:66.95pt;z-index:251656704;mso-wrap-distance-left:28.8pt;mso-wrap-distance-right:0">
            <v:imagedata r:id="rId12" o:title=""/>
            <w10:wrap type="square" side="left"/>
          </v:shape>
          <o:OLEObject Type="Embed" ProgID="ISISServer" ShapeID="_x0000_s1067" DrawAspect="Content" ObjectID="_1422730000" r:id="rId13"/>
        </w:pict>
      </w:r>
      <w:r>
        <w:rPr>
          <w:rFonts w:ascii="Times New Roman" w:hAnsi="Times New Roman"/>
          <w:i/>
          <w:sz w:val="22"/>
          <w:lang w:val="en-US"/>
        </w:rPr>
        <w:t xml:space="preserve">Ester Hydrolysis: </w:t>
      </w:r>
      <w:r>
        <w:t xml:space="preserve"> </w:t>
      </w:r>
      <w:r>
        <w:rPr>
          <w:rFonts w:ascii="Times New Roman" w:hAnsi="Times New Roman"/>
          <w:sz w:val="22"/>
          <w:lang w:val="en-US"/>
        </w:rPr>
        <w:t>Note that the bright yellow color of the p-nitrophenolate ion provides a convenient way to monitor the rate of product formation.</w:t>
      </w:r>
    </w:p>
    <w:p w:rsidR="00D923CD" w:rsidRDefault="00D923CD" w:rsidP="00D923CD">
      <w:pPr>
        <w:spacing w:before="40" w:after="0"/>
        <w:ind w:left="288" w:right="2592"/>
        <w:jc w:val="both"/>
        <w:rPr>
          <w:rFonts w:ascii="Times New Roman" w:hAnsi="Times New Roman"/>
          <w:sz w:val="22"/>
          <w:u w:val="single"/>
          <w:lang w:val="en-US"/>
        </w:rPr>
      </w:pPr>
    </w:p>
    <w:p w:rsidR="00D923CD" w:rsidRDefault="00D923CD" w:rsidP="00D923CD">
      <w:pPr>
        <w:spacing w:before="40" w:after="0"/>
        <w:ind w:left="288" w:right="2592"/>
        <w:rPr>
          <w:rFonts w:ascii="Times New Roman" w:hAnsi="Times New Roman"/>
          <w:i/>
          <w:sz w:val="22"/>
          <w:lang w:val="en-US"/>
        </w:rPr>
      </w:pPr>
      <w:r>
        <w:rPr>
          <w:rFonts w:ascii="Times New Roman" w:hAnsi="Times New Roman"/>
          <w:i/>
          <w:sz w:val="22"/>
          <w:lang w:val="en-US"/>
        </w:rPr>
        <w:t>Peptide Hydrolysis:</w:t>
      </w:r>
    </w:p>
    <w:p w:rsidR="00D923CD" w:rsidRDefault="00D923CD" w:rsidP="00B75362">
      <w:pPr>
        <w:tabs>
          <w:tab w:val="num" w:pos="720"/>
        </w:tabs>
        <w:spacing w:before="120" w:after="0"/>
        <w:ind w:right="2592"/>
        <w:jc w:val="both"/>
        <w:outlineLvl w:val="0"/>
        <w:rPr>
          <w:rFonts w:ascii="Times New Roman" w:hAnsi="Times New Roman"/>
          <w:b/>
          <w:sz w:val="22"/>
          <w:szCs w:val="22"/>
          <w:lang w:val="en-US"/>
        </w:rPr>
      </w:pPr>
      <w:r w:rsidRPr="00CC4716">
        <w:rPr>
          <w:rFonts w:ascii="Times New Roman" w:hAnsi="Times New Roman"/>
          <w:b/>
          <w:sz w:val="22"/>
          <w:szCs w:val="22"/>
          <w:lang w:val="en-US"/>
        </w:rPr>
        <w:t>Catalytic Residues</w:t>
      </w:r>
      <w:r>
        <w:rPr>
          <w:rFonts w:ascii="Times New Roman" w:hAnsi="Times New Roman"/>
          <w:b/>
          <w:sz w:val="22"/>
          <w:szCs w:val="22"/>
          <w:lang w:val="en-US"/>
        </w:rPr>
        <w:t>::</w:t>
      </w:r>
    </w:p>
    <w:p w:rsidR="00D923CD" w:rsidRDefault="00F84270" w:rsidP="00B75362">
      <w:pPr>
        <w:tabs>
          <w:tab w:val="num" w:pos="720"/>
        </w:tabs>
        <w:spacing w:before="60" w:after="0"/>
        <w:ind w:right="2592"/>
        <w:jc w:val="both"/>
        <w:outlineLvl w:val="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b/>
          <w:noProof/>
          <w:sz w:val="22"/>
        </w:rPr>
        <w:pict>
          <v:shape id="_x0000_s1068" type="#_x0000_t75" style="position:absolute;left:0;text-align:left;margin-left:387.85pt;margin-top:6.5pt;width:90.15pt;height:133pt;z-index:251657728;mso-wrap-distance-left:28.8pt;mso-wrap-distance-top:43.2pt;mso-wrap-distance-right:0">
            <v:imagedata r:id="rId14" o:title=""/>
            <w10:wrap type="square" side="left"/>
          </v:shape>
          <o:OLEObject Type="Embed" ProgID="ISISServer" ShapeID="_x0000_s1068" DrawAspect="Content" ObjectID="_1422730001" r:id="rId15"/>
        </w:pict>
      </w:r>
      <w:r w:rsidR="00D923CD">
        <w:rPr>
          <w:rFonts w:ascii="Times New Roman" w:hAnsi="Times New Roman"/>
          <w:sz w:val="22"/>
          <w:lang w:val="en-US"/>
        </w:rPr>
        <w:t xml:space="preserve">Key residues are Ser 195, His 57, and Asp 102.  These three residues are called the </w:t>
      </w:r>
      <w:r w:rsidR="00D923CD">
        <w:rPr>
          <w:rFonts w:ascii="Times New Roman" w:hAnsi="Times New Roman"/>
          <w:b/>
          <w:sz w:val="22"/>
          <w:lang w:val="en-US"/>
        </w:rPr>
        <w:t xml:space="preserve">catalytic triad.  </w:t>
      </w:r>
      <w:r w:rsidR="00D923CD">
        <w:rPr>
          <w:rFonts w:ascii="Times New Roman" w:hAnsi="Times New Roman"/>
          <w:sz w:val="22"/>
          <w:lang w:val="en-US"/>
        </w:rPr>
        <w:t>Serine is the nucleophile, for the first part of the reaction.</w:t>
      </w:r>
    </w:p>
    <w:p w:rsidR="00D923CD" w:rsidRPr="00D923CD" w:rsidRDefault="00D923CD" w:rsidP="00B75362">
      <w:pPr>
        <w:spacing w:before="0" w:after="0" w:line="200" w:lineRule="exact"/>
        <w:ind w:left="288" w:right="2592"/>
        <w:jc w:val="both"/>
        <w:rPr>
          <w:rFonts w:ascii="Calibri" w:hAnsi="Calibri" w:cs="Calibri"/>
          <w:sz w:val="20"/>
        </w:rPr>
      </w:pPr>
      <w:r w:rsidRPr="00D923CD">
        <w:rPr>
          <w:rFonts w:ascii="Calibri" w:hAnsi="Calibri" w:cs="Calibri"/>
          <w:b/>
          <w:sz w:val="20"/>
        </w:rPr>
        <w:t>Nucleophile</w:t>
      </w:r>
      <w:r w:rsidRPr="00D923CD">
        <w:rPr>
          <w:rFonts w:ascii="Calibri" w:hAnsi="Calibri" w:cs="Calibri"/>
          <w:sz w:val="20"/>
        </w:rPr>
        <w:t xml:space="preserve">: group that is electron rich and can form bonds with electron deficient groups. In the case </w:t>
      </w:r>
      <w:r w:rsidRPr="00D923CD">
        <w:rPr>
          <w:rFonts w:ascii="Calibri" w:hAnsi="Calibri" w:cs="Calibri"/>
          <w:sz w:val="20"/>
          <w:lang w:val="en-US"/>
        </w:rPr>
        <w:t xml:space="preserve">of </w:t>
      </w:r>
      <w:r w:rsidRPr="00D923CD">
        <w:rPr>
          <w:rFonts w:ascii="Calibri" w:hAnsi="Calibri" w:cs="Calibri"/>
          <w:sz w:val="20"/>
        </w:rPr>
        <w:t xml:space="preserve">the </w:t>
      </w:r>
      <w:r w:rsidRPr="00D923CD">
        <w:rPr>
          <w:rFonts w:ascii="Calibri" w:hAnsi="Calibri" w:cs="Calibri"/>
          <w:sz w:val="20"/>
          <w:lang w:val="en-US"/>
        </w:rPr>
        <w:t xml:space="preserve">peptide bond (or ester) the </w:t>
      </w:r>
      <w:r w:rsidRPr="00D923CD">
        <w:rPr>
          <w:rFonts w:ascii="Calibri" w:hAnsi="Calibri" w:cs="Calibri"/>
          <w:sz w:val="20"/>
        </w:rPr>
        <w:t>electronegativity of the oxygen makes the carbonyl carbon electron deficient.</w:t>
      </w:r>
    </w:p>
    <w:p w:rsidR="00FA3FD1" w:rsidRDefault="00FA3FD1" w:rsidP="00FA3FD1">
      <w:pPr>
        <w:spacing w:before="60" w:after="0"/>
        <w:ind w:right="2592"/>
        <w:jc w:val="both"/>
        <w:rPr>
          <w:rFonts w:ascii="Times New Roman" w:hAnsi="Times New Roman"/>
          <w:b/>
          <w:sz w:val="22"/>
          <w:lang w:val="en-US"/>
        </w:rPr>
      </w:pPr>
      <w:r>
        <w:rPr>
          <w:rFonts w:ascii="Times New Roman" w:hAnsi="Times New Roman"/>
          <w:b/>
          <w:sz w:val="22"/>
          <w:lang w:val="en-US"/>
        </w:rPr>
        <w:t>Catalytic  Mechanism:</w:t>
      </w:r>
    </w:p>
    <w:p w:rsidR="00FA3FD1" w:rsidRDefault="00FA3FD1" w:rsidP="00B75362">
      <w:pPr>
        <w:spacing w:before="0" w:after="0"/>
        <w:ind w:left="576" w:right="720" w:hanging="288"/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color w:val="000000"/>
          <w:sz w:val="22"/>
          <w:lang w:val="en-US"/>
        </w:rPr>
        <w:t xml:space="preserve">I. </w:t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</w:rPr>
        <w:t>Substrate binds.</w:t>
      </w:r>
    </w:p>
    <w:p w:rsidR="00FA3FD1" w:rsidRDefault="00FA3FD1" w:rsidP="00B75362">
      <w:pPr>
        <w:spacing w:before="0" w:after="0"/>
        <w:ind w:left="576" w:right="720" w:hanging="288"/>
        <w:jc w:val="both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lang w:val="en-US"/>
        </w:rPr>
        <w:t>II.</w:t>
      </w:r>
      <w:r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sz w:val="22"/>
        </w:rPr>
        <w:t>Nucleophilic attack of the side chain oxygen of Ser 195 on the carbonyl carbon of the scissile bond (bond to be cleaved) forming a tetrahedral intermediate. Assist from His 57 (proton transfer from Ser 195).</w:t>
      </w:r>
      <w:r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b/>
          <w:sz w:val="22"/>
          <w:lang w:val="en-US"/>
        </w:rPr>
        <w:t>Tetrahedral-intermediate (transition state) is stabilized by amides of Ser19</w:t>
      </w:r>
      <w:r w:rsidR="00445EC1">
        <w:rPr>
          <w:rFonts w:ascii="Times New Roman" w:hAnsi="Times New Roman"/>
          <w:b/>
          <w:sz w:val="22"/>
          <w:lang w:val="en-US"/>
        </w:rPr>
        <w:t>5 and Gly 193 – enthalpic stabilization of transition state.</w:t>
      </w:r>
    </w:p>
    <w:p w:rsidR="00FA3FD1" w:rsidRDefault="00FA3FD1" w:rsidP="00B75362">
      <w:pPr>
        <w:spacing w:before="0" w:after="0"/>
        <w:ind w:left="576" w:right="720" w:hanging="288"/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lang w:val="en-US"/>
        </w:rPr>
        <w:t>III:</w:t>
      </w:r>
      <w:r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sz w:val="22"/>
        </w:rPr>
        <w:t>Breakage of the peptide bond with assistance from His 57 (proton transfer to the new amino terminus).</w:t>
      </w:r>
      <w:r>
        <w:rPr>
          <w:rFonts w:ascii="Times New Roman" w:hAnsi="Times New Roman"/>
          <w:sz w:val="22"/>
          <w:lang w:val="en-US"/>
        </w:rPr>
        <w:t xml:space="preserve">  </w:t>
      </w:r>
      <w:r>
        <w:rPr>
          <w:rFonts w:ascii="Times New Roman" w:hAnsi="Times New Roman"/>
          <w:sz w:val="22"/>
        </w:rPr>
        <w:t>Release of the first product.</w:t>
      </w:r>
    </w:p>
    <w:p w:rsidR="00FA3FD1" w:rsidRDefault="00FA3FD1" w:rsidP="00B75362">
      <w:pPr>
        <w:spacing w:before="0" w:after="0"/>
        <w:ind w:left="576" w:right="720" w:hanging="288"/>
        <w:jc w:val="both"/>
        <w:outlineLvl w:val="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b/>
          <w:sz w:val="22"/>
          <w:lang w:val="en-US"/>
        </w:rPr>
        <w:t>IV:</w:t>
      </w:r>
      <w:r>
        <w:rPr>
          <w:rFonts w:ascii="Times New Roman" w:hAnsi="Times New Roman"/>
          <w:sz w:val="22"/>
          <w:lang w:val="en-US"/>
        </w:rPr>
        <w:t xml:space="preserve"> Acyl-intermediate: Note that the substrate is </w:t>
      </w:r>
      <w:r>
        <w:rPr>
          <w:rFonts w:ascii="Times New Roman" w:hAnsi="Times New Roman"/>
          <w:i/>
          <w:sz w:val="22"/>
          <w:lang w:val="en-US"/>
        </w:rPr>
        <w:t>covalently</w:t>
      </w:r>
      <w:r>
        <w:rPr>
          <w:rFonts w:ascii="Times New Roman" w:hAnsi="Times New Roman"/>
          <w:sz w:val="22"/>
          <w:lang w:val="en-US"/>
        </w:rPr>
        <w:t xml:space="preserve"> attached to the active site Serine 195</w:t>
      </w:r>
    </w:p>
    <w:p w:rsidR="00FA3FD1" w:rsidRDefault="00FA3FD1" w:rsidP="00B75362">
      <w:pPr>
        <w:spacing w:before="0" w:after="0"/>
        <w:ind w:left="576" w:right="720" w:hanging="288"/>
        <w:jc w:val="both"/>
        <w:outlineLvl w:val="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b/>
          <w:sz w:val="22"/>
          <w:lang w:val="en-US"/>
        </w:rPr>
        <w:t>V:</w:t>
      </w:r>
      <w:r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sz w:val="22"/>
        </w:rPr>
        <w:t>Nucleophilic attack of water on the acyl-enzyme intermediate with assistance of His 57 and formation of the tetrahedral intermediate.</w:t>
      </w:r>
    </w:p>
    <w:p w:rsidR="007146A5" w:rsidRDefault="00FA3FD1" w:rsidP="00770C55">
      <w:pPr>
        <w:spacing w:before="0" w:after="0"/>
        <w:ind w:left="576" w:right="720" w:hanging="288"/>
        <w:jc w:val="both"/>
        <w:outlineLvl w:val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2"/>
          <w:lang w:val="en-US"/>
        </w:rPr>
        <w:t>VI:</w:t>
      </w:r>
      <w:r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sz w:val="22"/>
        </w:rPr>
        <w:t>Decomposition of acyl intermediate and release of the second product.</w:t>
      </w:r>
      <w:r>
        <w:rPr>
          <w:rFonts w:ascii="Times New Roman" w:hAnsi="Times New Roman"/>
          <w:sz w:val="22"/>
          <w:lang w:val="en-US"/>
        </w:rPr>
        <w:t xml:space="preserve">  Enzyme is in the same form as in panel I!</w:t>
      </w:r>
      <w:r w:rsidR="00F04A6B">
        <w:rPr>
          <w:rFonts w:ascii="Times New Roman" w:hAnsi="Times New Roman"/>
          <w:b/>
          <w:lang w:val="en-US"/>
        </w:rPr>
        <w:br w:type="page"/>
      </w:r>
    </w:p>
    <w:p w:rsidR="00B75362" w:rsidRDefault="00770C55" w:rsidP="00B261DB">
      <w:pPr>
        <w:spacing w:before="20" w:after="0"/>
        <w:ind w:left="576" w:right="2592" w:hanging="288"/>
        <w:jc w:val="both"/>
        <w:outlineLvl w:val="0"/>
        <w:rPr>
          <w:rFonts w:ascii="Times New Roman" w:hAnsi="Times New Roman"/>
          <w:b/>
          <w:lang w:val="en-US"/>
        </w:rPr>
      </w:pPr>
      <w:r>
        <w:rPr>
          <w:noProof/>
        </w:rPr>
        <w:lastRenderedPageBreak/>
        <w:pict>
          <v:shape id="_x0000_s1046" type="#_x0000_t75" style="position:absolute;left:0;text-align:left;margin-left:-9.35pt;margin-top:-.3pt;width:296.45pt;height:51.8pt;z-index:251654656">
            <v:imagedata r:id="rId16" o:title=""/>
            <w10:wrap type="topAndBottom"/>
          </v:shape>
          <o:OLEObject Type="Embed" ProgID="ISISServer" ShapeID="_x0000_s1046" DrawAspect="Content" ObjectID="_1422730002" r:id="rId17"/>
        </w:pict>
      </w:r>
      <w:r>
        <w:rPr>
          <w:rFonts w:ascii="Times New Roman" w:hAnsi="Times New Roman"/>
          <w:b/>
          <w:noProof/>
          <w:sz w:val="22"/>
          <w:lang w:val="en-US"/>
        </w:rPr>
        <w:pict>
          <v:shape id="_x0000_s1069" type="#_x0000_t75" style="position:absolute;left:0;text-align:left;margin-left:295.35pt;margin-top:-20.65pt;width:252.15pt;height:109.9pt;z-index:251658752;mso-wrap-distance-left:7.2pt;mso-wrap-distance-top:43.2pt;mso-wrap-distance-right:0">
            <v:imagedata r:id="rId18" o:title=""/>
            <w10:wrap type="square" side="left"/>
          </v:shape>
          <o:OLEObject Type="Embed" ProgID="ISISServer" ShapeID="_x0000_s1069" DrawAspect="Content" ObjectID="_1422730003" r:id="rId19"/>
        </w:pict>
      </w:r>
    </w:p>
    <w:p w:rsidR="00B75362" w:rsidRDefault="00B75362" w:rsidP="00B261DB">
      <w:pPr>
        <w:spacing w:before="20" w:after="0"/>
        <w:ind w:left="576" w:right="2592" w:hanging="288"/>
        <w:jc w:val="both"/>
        <w:outlineLvl w:val="0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B75362" w:rsidRDefault="00B75362" w:rsidP="00B261DB">
      <w:pPr>
        <w:spacing w:before="20" w:after="0"/>
        <w:ind w:left="576" w:right="2592" w:hanging="288"/>
        <w:jc w:val="both"/>
        <w:outlineLvl w:val="0"/>
        <w:rPr>
          <w:rFonts w:ascii="Times New Roman" w:hAnsi="Times New Roman"/>
          <w:b/>
          <w:lang w:val="en-US"/>
        </w:rPr>
      </w:pPr>
    </w:p>
    <w:p w:rsidR="00D151E9" w:rsidRDefault="00B75362" w:rsidP="00B75362">
      <w:pPr>
        <w:spacing w:before="0" w:after="0"/>
        <w:jc w:val="both"/>
        <w:rPr>
          <w:rFonts w:ascii="Times New Roman" w:hAnsi="Times New Roman"/>
          <w:b/>
          <w:lang w:val="en-US"/>
        </w:rPr>
      </w:pPr>
      <w:r>
        <w:object w:dxaOrig="10944" w:dyaOrig="12456">
          <v:shape id="_x0000_i1025" type="#_x0000_t75" style="width:531.15pt;height:606.7pt" o:ole="">
            <v:imagedata r:id="rId20" o:title=""/>
          </v:shape>
          <o:OLEObject Type="Embed" ProgID="ISISServer" ShapeID="_x0000_i1025" DrawAspect="Content" ObjectID="_1422729997" r:id="rId21"/>
        </w:object>
      </w:r>
      <w:r>
        <w:rPr>
          <w:rFonts w:ascii="Times New Roman" w:hAnsi="Times New Roman"/>
          <w:b/>
        </w:rPr>
        <w:br w:type="page"/>
      </w:r>
      <w:r w:rsidR="00D151E9">
        <w:rPr>
          <w:rFonts w:ascii="Times New Roman" w:hAnsi="Times New Roman"/>
          <w:b/>
        </w:rPr>
        <w:lastRenderedPageBreak/>
        <w:t>Serine Proteases</w:t>
      </w:r>
      <w:r w:rsidR="00D151E9">
        <w:rPr>
          <w:rFonts w:ascii="Times New Roman" w:hAnsi="Times New Roman"/>
          <w:b/>
          <w:lang w:val="en-US"/>
        </w:rPr>
        <w:t xml:space="preserve"> – Review</w:t>
      </w:r>
    </w:p>
    <w:p w:rsidR="00D151E9" w:rsidRDefault="00B75362" w:rsidP="00D151E9">
      <w:pPr>
        <w:spacing w:before="0" w:after="0"/>
        <w:ind w:left="144" w:hanging="144"/>
        <w:rPr>
          <w:rFonts w:ascii="Times New Roman" w:hAnsi="Times New Roman"/>
          <w:sz w:val="22"/>
          <w:szCs w:val="22"/>
          <w:lang w:val="en-US"/>
        </w:rPr>
      </w:pPr>
      <w:r>
        <w:rPr>
          <w:b/>
          <w:noProof/>
        </w:rPr>
        <w:pict>
          <v:shape id="_x0000_s1070" type="#_x0000_t75" style="position:absolute;left:0;text-align:left;margin-left:248.2pt;margin-top:3.2pt;width:260.85pt;height:182.95pt;z-index:251659776">
            <v:imagedata r:id="rId22" o:title=""/>
            <w10:wrap type="square"/>
          </v:shape>
          <o:OLEObject Type="Embed" ProgID="ISISServer" ShapeID="_x0000_s1070" DrawAspect="Content" ObjectID="_1422730004" r:id="rId23"/>
        </w:pict>
      </w:r>
      <w:r w:rsidR="00D151E9" w:rsidRPr="00C34F50">
        <w:rPr>
          <w:rFonts w:ascii="Times New Roman" w:hAnsi="Times New Roman"/>
          <w:sz w:val="22"/>
          <w:szCs w:val="22"/>
          <w:lang w:val="en-US"/>
        </w:rPr>
        <w:t>Provide names and/or roles in the catalytic mechanism for each of the labeled items:</w:t>
      </w:r>
    </w:p>
    <w:p w:rsidR="00D151E9" w:rsidRPr="00B24CFC" w:rsidRDefault="00D151E9" w:rsidP="00D151E9">
      <w:pPr>
        <w:spacing w:before="0" w:after="60" w:line="600" w:lineRule="exact"/>
        <w:rPr>
          <w:rFonts w:ascii="Arial" w:hAnsi="Arial" w:cs="Arial"/>
          <w:sz w:val="22"/>
          <w:szCs w:val="22"/>
          <w:lang w:val="en-US"/>
        </w:rPr>
      </w:pPr>
      <w:r w:rsidRPr="00B24CFC">
        <w:rPr>
          <w:rFonts w:ascii="Arial" w:hAnsi="Arial" w:cs="Arial"/>
          <w:sz w:val="22"/>
          <w:szCs w:val="22"/>
          <w:lang w:val="en-US"/>
        </w:rPr>
        <w:t>A:</w:t>
      </w:r>
    </w:p>
    <w:p w:rsidR="00D151E9" w:rsidRPr="00B24CFC" w:rsidRDefault="00D151E9" w:rsidP="00D151E9">
      <w:pPr>
        <w:spacing w:before="0" w:after="60" w:line="600" w:lineRule="exact"/>
        <w:rPr>
          <w:rFonts w:ascii="Arial" w:hAnsi="Arial" w:cs="Arial"/>
          <w:sz w:val="22"/>
          <w:szCs w:val="22"/>
          <w:lang w:val="en-US"/>
        </w:rPr>
      </w:pPr>
      <w:r w:rsidRPr="00B24CFC">
        <w:rPr>
          <w:rFonts w:ascii="Arial" w:hAnsi="Arial" w:cs="Arial"/>
          <w:sz w:val="22"/>
          <w:szCs w:val="22"/>
          <w:lang w:val="en-US"/>
        </w:rPr>
        <w:t>B:</w:t>
      </w:r>
    </w:p>
    <w:p w:rsidR="00D151E9" w:rsidRPr="00B24CFC" w:rsidRDefault="00D151E9" w:rsidP="00D151E9">
      <w:pPr>
        <w:spacing w:before="0" w:after="60" w:line="600" w:lineRule="exact"/>
        <w:rPr>
          <w:rFonts w:ascii="Arial" w:hAnsi="Arial" w:cs="Arial"/>
          <w:sz w:val="22"/>
          <w:szCs w:val="22"/>
          <w:lang w:val="en-US"/>
        </w:rPr>
      </w:pPr>
      <w:r w:rsidRPr="00B24CFC">
        <w:rPr>
          <w:rFonts w:ascii="Arial" w:hAnsi="Arial" w:cs="Arial"/>
          <w:sz w:val="22"/>
          <w:szCs w:val="22"/>
          <w:lang w:val="en-US"/>
        </w:rPr>
        <w:t>C:</w:t>
      </w:r>
    </w:p>
    <w:p w:rsidR="00D151E9" w:rsidRPr="00B24CFC" w:rsidRDefault="00D151E9" w:rsidP="00D151E9">
      <w:pPr>
        <w:spacing w:before="0" w:after="60" w:line="600" w:lineRule="exact"/>
        <w:rPr>
          <w:rFonts w:ascii="Arial" w:hAnsi="Arial" w:cs="Arial"/>
          <w:sz w:val="22"/>
          <w:szCs w:val="22"/>
          <w:lang w:val="en-US"/>
        </w:rPr>
      </w:pPr>
      <w:r w:rsidRPr="00B24CFC">
        <w:rPr>
          <w:rFonts w:ascii="Arial" w:hAnsi="Arial" w:cs="Arial"/>
          <w:sz w:val="22"/>
          <w:szCs w:val="22"/>
          <w:lang w:val="en-US"/>
        </w:rPr>
        <w:t>D:</w:t>
      </w:r>
    </w:p>
    <w:p w:rsidR="00D151E9" w:rsidRPr="00B24CFC" w:rsidRDefault="00D151E9" w:rsidP="00D151E9">
      <w:pPr>
        <w:spacing w:before="0" w:after="60" w:line="600" w:lineRule="exact"/>
        <w:rPr>
          <w:rFonts w:ascii="Arial" w:hAnsi="Arial" w:cs="Arial"/>
          <w:sz w:val="22"/>
          <w:szCs w:val="22"/>
          <w:lang w:val="en-US"/>
        </w:rPr>
      </w:pPr>
      <w:r w:rsidRPr="00B24CFC">
        <w:rPr>
          <w:rFonts w:ascii="Arial" w:hAnsi="Arial" w:cs="Arial"/>
          <w:sz w:val="22"/>
          <w:szCs w:val="22"/>
          <w:lang w:val="en-US"/>
        </w:rPr>
        <w:t>E:</w:t>
      </w:r>
    </w:p>
    <w:p w:rsidR="00F84270" w:rsidRDefault="00F84270" w:rsidP="00D923CD">
      <w:pPr>
        <w:spacing w:before="120" w:after="0"/>
        <w:rPr>
          <w:rFonts w:ascii="Times New Roman" w:hAnsi="Times New Roman"/>
          <w:b/>
          <w:color w:val="000000"/>
          <w:sz w:val="22"/>
          <w:lang w:val="en-US"/>
        </w:rPr>
      </w:pPr>
      <w:r>
        <w:rPr>
          <w:rFonts w:ascii="Times New Roman" w:hAnsi="Times New Roman"/>
          <w:b/>
          <w:color w:val="000000"/>
          <w:sz w:val="22"/>
          <w:lang w:val="en-US"/>
        </w:rPr>
        <w:t>Kinetics &amp; Specificity:</w:t>
      </w:r>
    </w:p>
    <w:p w:rsidR="00F84270" w:rsidRDefault="00F84270" w:rsidP="00D923CD">
      <w:pPr>
        <w:spacing w:before="120" w:after="0"/>
        <w:rPr>
          <w:rFonts w:ascii="Times New Roman" w:hAnsi="Times New Roman"/>
          <w:b/>
          <w:color w:val="000000"/>
          <w:sz w:val="22"/>
          <w:lang w:val="en-US"/>
        </w:rPr>
      </w:pPr>
    </w:p>
    <w:p w:rsidR="00F84270" w:rsidRDefault="00F84270" w:rsidP="00D923CD">
      <w:pPr>
        <w:spacing w:before="120" w:after="0"/>
        <w:rPr>
          <w:rFonts w:ascii="Times New Roman" w:hAnsi="Times New Roman"/>
          <w:b/>
          <w:color w:val="000000"/>
          <w:sz w:val="22"/>
          <w:lang w:val="en-US"/>
        </w:rPr>
      </w:pPr>
    </w:p>
    <w:p w:rsidR="00F84270" w:rsidRDefault="00F84270" w:rsidP="00D923CD">
      <w:pPr>
        <w:spacing w:before="120" w:after="0"/>
        <w:rPr>
          <w:rFonts w:ascii="Times New Roman" w:hAnsi="Times New Roman"/>
          <w:b/>
          <w:color w:val="000000"/>
          <w:sz w:val="22"/>
          <w:lang w:val="en-US"/>
        </w:rPr>
      </w:pPr>
    </w:p>
    <w:p w:rsidR="00F84270" w:rsidRPr="00F84270" w:rsidRDefault="00F84270" w:rsidP="00D923CD">
      <w:pPr>
        <w:spacing w:before="120" w:after="0"/>
        <w:rPr>
          <w:rFonts w:ascii="Times New Roman" w:hAnsi="Times New Roman"/>
          <w:b/>
          <w:color w:val="000000"/>
          <w:sz w:val="22"/>
          <w:lang w:val="en-US"/>
        </w:rPr>
      </w:pPr>
    </w:p>
    <w:p w:rsidR="00F84270" w:rsidRDefault="00F84270" w:rsidP="00F84270">
      <w:pPr>
        <w:spacing w:before="120" w:after="0"/>
        <w:rPr>
          <w:rFonts w:ascii="Times New Roman" w:hAnsi="Times New Roman"/>
          <w:b/>
          <w:color w:val="000000"/>
          <w:sz w:val="22"/>
          <w:lang w:val="en-US"/>
        </w:rPr>
      </w:pPr>
      <w:r>
        <w:rPr>
          <w:rFonts w:ascii="Times New Roman" w:hAnsi="Times New Roman"/>
          <w:b/>
          <w:color w:val="000000"/>
          <w:sz w:val="22"/>
        </w:rPr>
        <w:t>Substrate Specificity:</w:t>
      </w:r>
    </w:p>
    <w:p w:rsidR="00D923CD" w:rsidRDefault="00D923CD" w:rsidP="00D923CD">
      <w:pPr>
        <w:spacing w:before="40" w:after="0"/>
        <w:rPr>
          <w:rFonts w:ascii="Times New Roman" w:hAnsi="Times New Roman"/>
          <w:color w:val="000000"/>
          <w:sz w:val="22"/>
          <w:lang w:val="en-US"/>
        </w:rPr>
      </w:pPr>
      <w:r>
        <w:rPr>
          <w:rFonts w:ascii="Times New Roman" w:hAnsi="Times New Roman"/>
          <w:color w:val="000000"/>
          <w:sz w:val="22"/>
        </w:rPr>
        <w:t xml:space="preserve">Serine proteases utilize all of the intermolecular forces that we have discussed to bind their substrates.  </w:t>
      </w:r>
      <w:r>
        <w:rPr>
          <w:rFonts w:ascii="Times New Roman" w:hAnsi="Times New Roman"/>
          <w:color w:val="000000"/>
          <w:sz w:val="22"/>
          <w:lang w:val="en-US"/>
        </w:rPr>
        <w:t xml:space="preserve">In addition to general recognition of the peptide by H-bonds, </w:t>
      </w:r>
      <w:r>
        <w:rPr>
          <w:rFonts w:ascii="Times New Roman" w:hAnsi="Times New Roman"/>
          <w:color w:val="000000"/>
          <w:sz w:val="22"/>
        </w:rPr>
        <w:t xml:space="preserve">a particular serine protease is specific for </w:t>
      </w:r>
      <w:r>
        <w:rPr>
          <w:rFonts w:ascii="Times New Roman" w:hAnsi="Times New Roman"/>
          <w:color w:val="000000"/>
          <w:sz w:val="22"/>
          <w:lang w:val="en-US"/>
        </w:rPr>
        <w:t>certain amino acids</w:t>
      </w:r>
      <w:r>
        <w:rPr>
          <w:rFonts w:ascii="Times New Roman" w:hAnsi="Times New Roman"/>
          <w:color w:val="000000"/>
          <w:sz w:val="22"/>
        </w:rPr>
        <w:t>.  The molecular nature of this specificity can be inferred from the structure of the active site:</w:t>
      </w:r>
    </w:p>
    <w:p w:rsidR="00B75362" w:rsidRDefault="00B75362" w:rsidP="00D923CD">
      <w:pPr>
        <w:spacing w:before="0" w:after="0"/>
        <w:ind w:right="1440"/>
        <w:jc w:val="both"/>
        <w:outlineLvl w:val="0"/>
        <w:rPr>
          <w:rFonts w:ascii="Times New Roman" w:hAnsi="Times New Roman"/>
          <w:color w:val="000000"/>
          <w:sz w:val="22"/>
          <w:lang w:val="en-US"/>
        </w:rPr>
      </w:pPr>
    </w:p>
    <w:tbl>
      <w:tblPr>
        <w:tblpPr w:leftFromText="180" w:rightFromText="180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B75362" w:rsidRPr="00D923CD" w:rsidTr="00B75362">
        <w:trPr>
          <w:trHeight w:val="41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</w:rPr>
            </w:pPr>
            <w:r w:rsidRPr="00D923CD">
              <w:rPr>
                <w:rFonts w:ascii="Times New Roman" w:hAnsi="Times New Roman"/>
                <w:b/>
                <w:color w:val="000000"/>
                <w:sz w:val="22"/>
              </w:rPr>
              <w:t>Trypsin</w:t>
            </w:r>
            <w:r w:rsidRPr="00D923CD">
              <w:rPr>
                <w:rFonts w:ascii="Times New Roman" w:hAnsi="Times New Roman"/>
                <w:color w:val="000000"/>
                <w:sz w:val="22"/>
              </w:rPr>
              <w:t xml:space="preserve"> cleaves after Lys and Arg residues: Asp189</w:t>
            </w:r>
            <w:r w:rsidRPr="00D923CD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in the active site of Trypsin</w:t>
            </w:r>
            <w:r w:rsidRPr="00D923CD">
              <w:rPr>
                <w:rFonts w:ascii="Times New Roman" w:hAnsi="Times New Roman"/>
                <w:color w:val="000000"/>
                <w:sz w:val="22"/>
              </w:rPr>
              <w:t xml:space="preserve"> interacts with the positive charge on Arg and Lys.</w:t>
            </w: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75362" w:rsidRPr="00D923CD" w:rsidRDefault="00B75362" w:rsidP="00B75362">
            <w:pPr>
              <w:spacing w:before="0" w:after="0"/>
              <w:jc w:val="both"/>
              <w:outlineLvl w:val="0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 w:rsidRPr="00D923CD">
              <w:rPr>
                <w:rFonts w:ascii="Times New Roman" w:hAnsi="Times New Roman"/>
                <w:b/>
                <w:color w:val="000000"/>
                <w:sz w:val="22"/>
              </w:rPr>
              <w:t>Chymotrypsin</w:t>
            </w:r>
            <w:r w:rsidRPr="00D923CD">
              <w:rPr>
                <w:rFonts w:ascii="Times New Roman" w:hAnsi="Times New Roman"/>
                <w:color w:val="000000"/>
                <w:sz w:val="22"/>
              </w:rPr>
              <w:t xml:space="preserve"> cleaves after aromatic (and large hydrophobic) residues: </w:t>
            </w:r>
            <w:r w:rsidRPr="00D923CD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The active site of the enzyme contains a </w:t>
            </w:r>
            <w:r w:rsidRPr="00D923CD">
              <w:rPr>
                <w:rFonts w:ascii="Times New Roman" w:hAnsi="Times New Roman"/>
                <w:color w:val="000000"/>
                <w:sz w:val="22"/>
              </w:rPr>
              <w:t>hydrophobic pocket, formed in part by Met192 of Chymotrypsin.</w:t>
            </w:r>
          </w:p>
        </w:tc>
      </w:tr>
    </w:tbl>
    <w:p w:rsidR="00B75362" w:rsidRDefault="00B75362" w:rsidP="00D923CD">
      <w:pPr>
        <w:spacing w:before="0" w:after="0"/>
        <w:ind w:right="1440"/>
        <w:jc w:val="both"/>
        <w:outlineLvl w:val="0"/>
        <w:rPr>
          <w:rFonts w:ascii="Times New Roman" w:hAnsi="Times New Roman"/>
          <w:color w:val="000000"/>
          <w:sz w:val="22"/>
          <w:lang w:val="en-US"/>
        </w:rPr>
      </w:pPr>
    </w:p>
    <w:p w:rsidR="00B75362" w:rsidRDefault="00B75362" w:rsidP="00D923CD">
      <w:pPr>
        <w:spacing w:before="0" w:after="0"/>
        <w:ind w:right="1440"/>
        <w:jc w:val="both"/>
        <w:outlineLvl w:val="0"/>
        <w:rPr>
          <w:rFonts w:ascii="Times New Roman" w:hAnsi="Times New Roman"/>
          <w:color w:val="000000"/>
          <w:sz w:val="22"/>
          <w:lang w:val="en-US"/>
        </w:rPr>
      </w:pPr>
    </w:p>
    <w:p w:rsidR="00B75362" w:rsidRDefault="00B75362" w:rsidP="00D923CD">
      <w:pPr>
        <w:spacing w:before="0" w:after="0"/>
        <w:ind w:right="1440"/>
        <w:jc w:val="both"/>
        <w:outlineLvl w:val="0"/>
        <w:rPr>
          <w:rFonts w:ascii="Times New Roman" w:hAnsi="Times New Roman"/>
          <w:color w:val="000000"/>
          <w:sz w:val="22"/>
          <w:lang w:val="en-US"/>
        </w:rPr>
      </w:pPr>
    </w:p>
    <w:p w:rsidR="00AF115D" w:rsidRDefault="00B75362" w:rsidP="00AF115D">
      <w:pPr>
        <w:ind w:left="288" w:right="4320" w:hanging="288"/>
        <w:rPr>
          <w:rFonts w:ascii="Times New Roman" w:hAnsi="Times New Roman"/>
          <w:sz w:val="2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50800</wp:posOffset>
            </wp:positionV>
            <wp:extent cx="1207770" cy="1186180"/>
            <wp:effectExtent l="0" t="0" r="0" b="0"/>
            <wp:wrapSquare wrapText="bothSides"/>
            <wp:docPr id="48" name="Picture 2" descr="File:Sarin-2D-by-AHRLS-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arin-2D-by-AHRLS-201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15D" w:rsidRPr="000E20EE">
        <w:rPr>
          <w:rFonts w:ascii="Times New Roman" w:hAnsi="Times New Roman"/>
          <w:b/>
          <w:sz w:val="22"/>
        </w:rPr>
        <w:t>Esterases and Toxins</w:t>
      </w:r>
      <w:r w:rsidR="00AF115D">
        <w:rPr>
          <w:rFonts w:ascii="Times New Roman" w:hAnsi="Times New Roman"/>
          <w:sz w:val="22"/>
        </w:rPr>
        <w:t xml:space="preserve">:  The enzyme that degrades acetylcholine (a neurotransmitter associated with muscle contrations) is a serine esterase, with the same catalytic triad shown above.  The nerve gas, </w:t>
      </w:r>
      <w:r w:rsidR="00AF115D" w:rsidRPr="00B75362">
        <w:rPr>
          <w:rFonts w:ascii="Times New Roman" w:hAnsi="Times New Roman"/>
          <w:b/>
          <w:sz w:val="22"/>
        </w:rPr>
        <w:t>sarin</w:t>
      </w:r>
      <w:r w:rsidR="00AF115D">
        <w:rPr>
          <w:rFonts w:ascii="Times New Roman" w:hAnsi="Times New Roman"/>
          <w:sz w:val="22"/>
        </w:rPr>
        <w:t>, inhibits this enzyme, interfering with breathing and other important functions .</w:t>
      </w:r>
    </w:p>
    <w:sectPr w:rsidR="00AF115D" w:rsidSect="00770C55">
      <w:headerReference w:type="default" r:id="rId25"/>
      <w:footerReference w:type="even" r:id="rId26"/>
      <w:footerReference w:type="default" r:id="rId27"/>
      <w:type w:val="continuous"/>
      <w:pgSz w:w="12240" w:h="15840" w:code="1"/>
      <w:pgMar w:top="864" w:right="1080" w:bottom="864" w:left="1080" w:header="288" w:footer="288" w:gutter="0"/>
      <w:cols w:space="720" w:equalWidth="0">
        <w:col w:w="9864" w:space="72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56" w:rsidRDefault="00837E56">
      <w:r>
        <w:separator/>
      </w:r>
    </w:p>
  </w:endnote>
  <w:endnote w:type="continuationSeparator" w:id="0">
    <w:p w:rsidR="00837E56" w:rsidRDefault="0083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A5" w:rsidRDefault="007146A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46A5" w:rsidRDefault="007146A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A5" w:rsidRDefault="007146A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C55">
      <w:rPr>
        <w:rStyle w:val="PageNumber"/>
        <w:noProof/>
      </w:rPr>
      <w:t>3</w:t>
    </w:r>
    <w:r>
      <w:rPr>
        <w:rStyle w:val="PageNumber"/>
      </w:rPr>
      <w:fldChar w:fldCharType="end"/>
    </w:r>
    <w:bookmarkStart w:id="1" w:name="top"/>
  </w:p>
  <w:bookmarkEnd w:id="1"/>
  <w:p w:rsidR="007146A5" w:rsidRDefault="007146A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56" w:rsidRDefault="00837E56">
      <w:r>
        <w:separator/>
      </w:r>
    </w:p>
  </w:footnote>
  <w:footnote w:type="continuationSeparator" w:id="0">
    <w:p w:rsidR="00837E56" w:rsidRDefault="0083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A5" w:rsidRDefault="007146A5">
    <w:pPr>
      <w:pStyle w:val="Header"/>
      <w:rPr>
        <w:rFonts w:ascii="Times New Roman" w:hAnsi="Times New Roman"/>
        <w:i/>
        <w:sz w:val="20"/>
        <w:lang w:val="en-US"/>
      </w:rPr>
    </w:pPr>
    <w:r>
      <w:rPr>
        <w:rFonts w:ascii="Times New Roman" w:hAnsi="Times New Roman"/>
        <w:i/>
        <w:sz w:val="20"/>
        <w:lang w:val="en-US"/>
      </w:rPr>
      <w:t xml:space="preserve">Biochemistry I                                     </w:t>
    </w:r>
    <w:r w:rsidR="00BB7122">
      <w:rPr>
        <w:rFonts w:ascii="Times New Roman" w:hAnsi="Times New Roman"/>
        <w:i/>
        <w:sz w:val="20"/>
        <w:lang w:val="en-US"/>
      </w:rPr>
      <w:t xml:space="preserve"> </w:t>
    </w:r>
    <w:r>
      <w:rPr>
        <w:rFonts w:ascii="Times New Roman" w:hAnsi="Times New Roman"/>
        <w:i/>
        <w:sz w:val="20"/>
        <w:lang w:val="en-US"/>
      </w:rPr>
      <w:t xml:space="preserve">                  Lecture 16                                          </w:t>
    </w:r>
    <w:r w:rsidR="000650F6">
      <w:rPr>
        <w:rFonts w:ascii="Times New Roman" w:hAnsi="Times New Roman"/>
        <w:i/>
        <w:sz w:val="20"/>
        <w:lang w:val="en-US"/>
      </w:rPr>
      <w:t xml:space="preserve">      </w:t>
    </w:r>
    <w:r w:rsidR="006C7918">
      <w:rPr>
        <w:rFonts w:ascii="Times New Roman" w:hAnsi="Times New Roman"/>
        <w:i/>
        <w:sz w:val="20"/>
        <w:lang w:val="en-US"/>
      </w:rPr>
      <w:t xml:space="preserve">               February 20,2013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10C5F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E77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4EB5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0DE006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1B4B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2672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7A35D9D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4079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A85F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8435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E087C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A543D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581A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16265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64603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56D206B9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0005C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08C34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C471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D5763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5C901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21"/>
  </w:num>
  <w:num w:numId="11">
    <w:abstractNumId w:val="24"/>
  </w:num>
  <w:num w:numId="12">
    <w:abstractNumId w:val="15"/>
  </w:num>
  <w:num w:numId="13">
    <w:abstractNumId w:val="13"/>
  </w:num>
  <w:num w:numId="14">
    <w:abstractNumId w:val="22"/>
  </w:num>
  <w:num w:numId="15">
    <w:abstractNumId w:val="1"/>
  </w:num>
  <w:num w:numId="16">
    <w:abstractNumId w:val="17"/>
  </w:num>
  <w:num w:numId="17">
    <w:abstractNumId w:val="11"/>
  </w:num>
  <w:num w:numId="18">
    <w:abstractNumId w:val="20"/>
  </w:num>
  <w:num w:numId="19">
    <w:abstractNumId w:val="29"/>
  </w:num>
  <w:num w:numId="20">
    <w:abstractNumId w:val="19"/>
  </w:num>
  <w:num w:numId="21">
    <w:abstractNumId w:val="14"/>
  </w:num>
  <w:num w:numId="22">
    <w:abstractNumId w:val="9"/>
  </w:num>
  <w:num w:numId="23">
    <w:abstractNumId w:val="27"/>
  </w:num>
  <w:num w:numId="24">
    <w:abstractNumId w:val="12"/>
  </w:num>
  <w:num w:numId="25">
    <w:abstractNumId w:val="28"/>
  </w:num>
  <w:num w:numId="26">
    <w:abstractNumId w:val="26"/>
  </w:num>
  <w:num w:numId="27">
    <w:abstractNumId w:val="10"/>
  </w:num>
  <w:num w:numId="28">
    <w:abstractNumId w:val="16"/>
  </w:num>
  <w:num w:numId="29">
    <w:abstractNumId w:val="1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22"/>
    <w:rsid w:val="000276E3"/>
    <w:rsid w:val="000650F6"/>
    <w:rsid w:val="0009746B"/>
    <w:rsid w:val="000A2874"/>
    <w:rsid w:val="000A4FEC"/>
    <w:rsid w:val="00115CC1"/>
    <w:rsid w:val="0013424A"/>
    <w:rsid w:val="001D343D"/>
    <w:rsid w:val="00241647"/>
    <w:rsid w:val="002763D8"/>
    <w:rsid w:val="002C4935"/>
    <w:rsid w:val="00331660"/>
    <w:rsid w:val="003A4F8D"/>
    <w:rsid w:val="003C1FF5"/>
    <w:rsid w:val="003C28C0"/>
    <w:rsid w:val="003F5380"/>
    <w:rsid w:val="00445EC1"/>
    <w:rsid w:val="004A427E"/>
    <w:rsid w:val="004A7A37"/>
    <w:rsid w:val="00547129"/>
    <w:rsid w:val="005F0CA0"/>
    <w:rsid w:val="00626FD6"/>
    <w:rsid w:val="00642379"/>
    <w:rsid w:val="0064312A"/>
    <w:rsid w:val="00644541"/>
    <w:rsid w:val="006C22BB"/>
    <w:rsid w:val="006C7918"/>
    <w:rsid w:val="007146A5"/>
    <w:rsid w:val="00770C55"/>
    <w:rsid w:val="0081488C"/>
    <w:rsid w:val="00837E56"/>
    <w:rsid w:val="00852186"/>
    <w:rsid w:val="008A35E2"/>
    <w:rsid w:val="008E18ED"/>
    <w:rsid w:val="008F6611"/>
    <w:rsid w:val="00AD2CEB"/>
    <w:rsid w:val="00AF115D"/>
    <w:rsid w:val="00B261DB"/>
    <w:rsid w:val="00B75362"/>
    <w:rsid w:val="00BA79B8"/>
    <w:rsid w:val="00BB7122"/>
    <w:rsid w:val="00CC4716"/>
    <w:rsid w:val="00CF490C"/>
    <w:rsid w:val="00D151E9"/>
    <w:rsid w:val="00D22923"/>
    <w:rsid w:val="00D4486A"/>
    <w:rsid w:val="00D923CD"/>
    <w:rsid w:val="00DC127D"/>
    <w:rsid w:val="00E05A2F"/>
    <w:rsid w:val="00F04A6B"/>
    <w:rsid w:val="00F04D4F"/>
    <w:rsid w:val="00F22A85"/>
    <w:rsid w:val="00F37E0A"/>
    <w:rsid w:val="00F7727E"/>
    <w:rsid w:val="00F84270"/>
    <w:rsid w:val="00FA3FD1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rFonts w:eastAsia="Times New Roman"/>
      <w:sz w:val="24"/>
      <w:lang w:val="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  <w:lang w:val="bg"/>
    </w:rPr>
  </w:style>
  <w:style w:type="paragraph" w:styleId="z-TopofForm">
    <w:name w:val="HTML Top of Form"/>
    <w:next w:val="Normal"/>
    <w:hidden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  <w:lang w:val="bg"/>
    </w:rPr>
  </w:style>
  <w:style w:type="character" w:customStyle="1" w:styleId="Sample">
    <w:name w:val="Sample"/>
    <w:rPr>
      <w:rFonts w:ascii="Courier" w:hAnsi="Courier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4FEC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rFonts w:eastAsia="Times New Roman"/>
      <w:sz w:val="24"/>
      <w:lang w:val="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  <w:lang w:val="bg"/>
    </w:rPr>
  </w:style>
  <w:style w:type="paragraph" w:styleId="z-TopofForm">
    <w:name w:val="HTML Top of Form"/>
    <w:next w:val="Normal"/>
    <w:hidden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  <w:lang w:val="bg"/>
    </w:rPr>
  </w:style>
  <w:style w:type="character" w:customStyle="1" w:styleId="Sample">
    <w:name w:val="Sample"/>
    <w:rPr>
      <w:rFonts w:ascii="Courier" w:hAnsi="Courier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4FEC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Enzyme Mechanism: Serine Proteases</vt:lpstr>
    </vt:vector>
  </TitlesOfParts>
  <Company>Carnegie Mellon University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Enzyme Mechanism: Serine Proteases</dc:title>
  <dc:creator>William McClure</dc:creator>
  <cp:lastModifiedBy>Gordon Rule</cp:lastModifiedBy>
  <cp:revision>3</cp:revision>
  <cp:lastPrinted>2008-02-19T14:06:00Z</cp:lastPrinted>
  <dcterms:created xsi:type="dcterms:W3CDTF">2013-02-19T02:57:00Z</dcterms:created>
  <dcterms:modified xsi:type="dcterms:W3CDTF">2013-02-19T02:58:00Z</dcterms:modified>
</cp:coreProperties>
</file>