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65" w:rsidRDefault="00F62C65">
      <w:pPr>
        <w:pStyle w:val="PlainText"/>
        <w:rPr>
          <w:rFonts w:ascii="Times New Roman" w:hAnsi="Times New Roman"/>
          <w:b/>
          <w:sz w:val="28"/>
        </w:rPr>
      </w:pPr>
      <w:r>
        <w:rPr>
          <w:rFonts w:ascii="Times New Roman" w:hAnsi="Times New Roman"/>
          <w:b/>
          <w:sz w:val="28"/>
        </w:rPr>
        <w:t>Lecture 13: Allosteric Effects and Cooperative Binding</w:t>
      </w:r>
    </w:p>
    <w:p w:rsidR="00F62C65" w:rsidRPr="00AA7A21" w:rsidRDefault="00F62C65" w:rsidP="000F1972">
      <w:pPr>
        <w:pStyle w:val="PlainText"/>
        <w:spacing w:before="80"/>
        <w:rPr>
          <w:rFonts w:ascii="Times New Roman" w:hAnsi="Times New Roman"/>
          <w:b/>
          <w:sz w:val="24"/>
          <w:szCs w:val="24"/>
        </w:rPr>
      </w:pPr>
      <w:r w:rsidRPr="00AA7A21">
        <w:rPr>
          <w:rFonts w:ascii="Times New Roman" w:hAnsi="Times New Roman"/>
          <w:b/>
          <w:sz w:val="24"/>
          <w:szCs w:val="24"/>
        </w:rPr>
        <w:t>Key Terms:</w:t>
      </w:r>
    </w:p>
    <w:p w:rsidR="00ED14F4" w:rsidRDefault="00ED14F4">
      <w:pPr>
        <w:pStyle w:val="PlainText"/>
        <w:numPr>
          <w:ilvl w:val="0"/>
          <w:numId w:val="1"/>
        </w:numPr>
        <w:tabs>
          <w:tab w:val="clear" w:pos="360"/>
          <w:tab w:val="num" w:pos="720"/>
        </w:tabs>
        <w:ind w:left="720"/>
        <w:rPr>
          <w:rFonts w:ascii="Times New Roman" w:hAnsi="Times New Roman"/>
          <w:sz w:val="22"/>
        </w:rPr>
        <w:sectPr w:rsidR="00ED14F4" w:rsidSect="00AA7A21">
          <w:headerReference w:type="default" r:id="rId9"/>
          <w:footerReference w:type="even" r:id="rId10"/>
          <w:footerReference w:type="default" r:id="rId11"/>
          <w:pgSz w:w="12240" w:h="15840"/>
          <w:pgMar w:top="1008" w:right="1152" w:bottom="1008" w:left="1152" w:header="576" w:footer="576" w:gutter="0"/>
          <w:cols w:space="720"/>
        </w:sectPr>
      </w:pPr>
    </w:p>
    <w:p w:rsidR="00ED14F4" w:rsidRDefault="00ED14F4">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lastRenderedPageBreak/>
        <w:t>Oxygen transport.</w:t>
      </w:r>
    </w:p>
    <w:p w:rsidR="00F62C65" w:rsidRDefault="00F62C65">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t>Homotropic Allosteric effects</w:t>
      </w:r>
    </w:p>
    <w:p w:rsidR="00F62C65" w:rsidRDefault="00F62C65">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t>Heterotropic Allosteric effects</w:t>
      </w:r>
    </w:p>
    <w:p w:rsidR="00F62C65" w:rsidRDefault="00F62C65">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lastRenderedPageBreak/>
        <w:t>T and R states of cooperative systems.</w:t>
      </w:r>
    </w:p>
    <w:p w:rsidR="00F62C65" w:rsidRDefault="00F62C65">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t>Role of proximal His residue in cooperativity</w:t>
      </w:r>
    </w:p>
    <w:p w:rsidR="00362C73" w:rsidRDefault="00362C73">
      <w:pPr>
        <w:pStyle w:val="PlainText"/>
        <w:numPr>
          <w:ilvl w:val="0"/>
          <w:numId w:val="1"/>
        </w:numPr>
        <w:tabs>
          <w:tab w:val="clear" w:pos="360"/>
          <w:tab w:val="num" w:pos="720"/>
        </w:tabs>
        <w:ind w:left="720"/>
        <w:rPr>
          <w:rFonts w:ascii="Times New Roman" w:hAnsi="Times New Roman"/>
          <w:sz w:val="22"/>
        </w:rPr>
      </w:pPr>
      <w:r>
        <w:rPr>
          <w:rFonts w:ascii="Times New Roman" w:hAnsi="Times New Roman"/>
          <w:sz w:val="22"/>
        </w:rPr>
        <w:t>Role of BPG in oxygen adaptation.</w:t>
      </w:r>
    </w:p>
    <w:p w:rsidR="00362C73" w:rsidRDefault="00362C73" w:rsidP="00E23215">
      <w:pPr>
        <w:pStyle w:val="PlainText"/>
        <w:spacing w:before="120"/>
        <w:rPr>
          <w:rFonts w:ascii="Times New Roman" w:hAnsi="Times New Roman"/>
          <w:b/>
          <w:sz w:val="22"/>
        </w:rPr>
        <w:sectPr w:rsidR="00362C73" w:rsidSect="00362C73">
          <w:type w:val="continuous"/>
          <w:pgSz w:w="12240" w:h="15840"/>
          <w:pgMar w:top="1008" w:right="1152" w:bottom="1008" w:left="1152" w:header="576" w:footer="576" w:gutter="0"/>
          <w:cols w:num="2" w:space="144"/>
        </w:sectPr>
      </w:pPr>
    </w:p>
    <w:p w:rsidR="00E23215" w:rsidRDefault="00A64494" w:rsidP="00E23215">
      <w:pPr>
        <w:pStyle w:val="PlainText"/>
        <w:spacing w:before="120"/>
        <w:rPr>
          <w:rFonts w:ascii="Times New Roman" w:hAnsi="Times New Roman"/>
          <w:b/>
          <w:sz w:val="22"/>
        </w:rPr>
      </w:pPr>
      <w:r>
        <w:rPr>
          <w:rFonts w:ascii="Times New Roman" w:hAnsi="Times New Roman"/>
          <w:b/>
          <w:noProof/>
          <w:sz w:val="22"/>
        </w:rPr>
        <w:lastRenderedPageBreak/>
        <w:pict>
          <v:shapetype id="_x0000_t202" coordsize="21600,21600" o:spt="202" path="m,l,21600r21600,l21600,xe">
            <v:stroke joinstyle="miter"/>
            <v:path gradientshapeok="t" o:connecttype="rect"/>
          </v:shapetype>
          <v:shape id="_x0000_s1060" type="#_x0000_t202" style="position:absolute;margin-left:221.4pt;margin-top:13.4pt;width:292.05pt;height:145pt;z-index:251660288" stroked="f">
            <v:textbox style="mso-next-textbox:#_x0000_s1060">
              <w:txbxContent>
                <w:p w:rsidR="00362C73" w:rsidRDefault="00362C73"/>
              </w:txbxContent>
            </v:textbox>
            <w10:wrap type="square"/>
          </v:shape>
        </w:pict>
      </w:r>
      <w:r w:rsidR="00E23215" w:rsidRPr="00013A0A">
        <w:rPr>
          <w:rFonts w:ascii="Times New Roman" w:hAnsi="Times New Roman"/>
          <w:b/>
          <w:sz w:val="22"/>
        </w:rPr>
        <w:t>Pre-Lecture Quiz:</w:t>
      </w:r>
    </w:p>
    <w:p w:rsidR="004729B1" w:rsidRDefault="00EB089E" w:rsidP="004729B1">
      <w:pPr>
        <w:pStyle w:val="PlainText"/>
        <w:spacing w:before="60" w:after="60"/>
        <w:ind w:left="576" w:hanging="288"/>
        <w:rPr>
          <w:rFonts w:ascii="Times New Roman" w:hAnsi="Times New Roman"/>
          <w:sz w:val="22"/>
        </w:rPr>
      </w:pPr>
      <w:r>
        <w:rPr>
          <w:rFonts w:ascii="Times New Roman" w:hAnsi="Times New Roman"/>
          <w:sz w:val="22"/>
        </w:rPr>
        <w:t>1</w:t>
      </w:r>
      <w:r w:rsidR="00362C73">
        <w:rPr>
          <w:rFonts w:ascii="Times New Roman" w:hAnsi="Times New Roman"/>
          <w:sz w:val="22"/>
        </w:rPr>
        <w:t xml:space="preserve">. </w:t>
      </w:r>
      <w:r w:rsidR="004729B1">
        <w:rPr>
          <w:rFonts w:ascii="Times New Roman" w:hAnsi="Times New Roman"/>
          <w:sz w:val="22"/>
        </w:rPr>
        <w:t>Sketch the binding curve for non-cooperative binding and mark the K</w:t>
      </w:r>
      <w:r w:rsidR="004729B1">
        <w:rPr>
          <w:rFonts w:ascii="Times New Roman" w:hAnsi="Times New Roman"/>
          <w:sz w:val="22"/>
          <w:vertAlign w:val="subscript"/>
        </w:rPr>
        <w:t>D</w:t>
      </w:r>
      <w:r w:rsidR="004729B1">
        <w:rPr>
          <w:rFonts w:ascii="Times New Roman" w:hAnsi="Times New Roman"/>
          <w:sz w:val="22"/>
        </w:rPr>
        <w:t xml:space="preserve"> on the graph.</w:t>
      </w:r>
    </w:p>
    <w:p w:rsidR="004729B1" w:rsidRPr="004729B1" w:rsidRDefault="004729B1" w:rsidP="004729B1">
      <w:pPr>
        <w:pStyle w:val="PlainText"/>
        <w:spacing w:before="60" w:after="60"/>
        <w:ind w:left="576" w:hanging="288"/>
        <w:rPr>
          <w:rFonts w:ascii="Times New Roman" w:hAnsi="Times New Roman"/>
          <w:sz w:val="22"/>
        </w:rPr>
      </w:pPr>
      <w:r>
        <w:rPr>
          <w:rFonts w:ascii="Times New Roman" w:hAnsi="Times New Roman"/>
          <w:sz w:val="22"/>
        </w:rPr>
        <w:t>2. Now draw a binding curve for a ligand that binds more tightly, and mark its K</w:t>
      </w:r>
      <w:r>
        <w:rPr>
          <w:rFonts w:ascii="Times New Roman" w:hAnsi="Times New Roman"/>
          <w:sz w:val="22"/>
          <w:vertAlign w:val="subscript"/>
        </w:rPr>
        <w:t>D</w:t>
      </w:r>
      <w:r>
        <w:rPr>
          <w:rFonts w:ascii="Times New Roman" w:hAnsi="Times New Roman"/>
          <w:sz w:val="22"/>
        </w:rPr>
        <w:t xml:space="preserve"> on the graph.</w:t>
      </w:r>
    </w:p>
    <w:p w:rsidR="00362C73" w:rsidRPr="005D5ADD" w:rsidRDefault="004729B1" w:rsidP="004729B1">
      <w:pPr>
        <w:pStyle w:val="PlainText"/>
        <w:spacing w:before="60" w:after="60"/>
        <w:ind w:left="576" w:hanging="288"/>
        <w:rPr>
          <w:rFonts w:ascii="Times New Roman" w:hAnsi="Times New Roman"/>
          <w:sz w:val="22"/>
        </w:rPr>
      </w:pPr>
      <w:r>
        <w:rPr>
          <w:rFonts w:ascii="Times New Roman" w:hAnsi="Times New Roman"/>
          <w:sz w:val="22"/>
        </w:rPr>
        <w:t xml:space="preserve">3. </w:t>
      </w:r>
      <w:r w:rsidR="00362C73">
        <w:rPr>
          <w:rFonts w:ascii="Times New Roman" w:hAnsi="Times New Roman"/>
          <w:sz w:val="22"/>
        </w:rPr>
        <w:t>The initial slope of a binding curve, at low [L] is equal to ___________:</w:t>
      </w:r>
    </w:p>
    <w:p w:rsidR="00E23215" w:rsidRDefault="00EB089E" w:rsidP="004729B1">
      <w:pPr>
        <w:pStyle w:val="PlainText"/>
        <w:spacing w:before="60" w:after="60"/>
        <w:ind w:left="576" w:hanging="288"/>
        <w:rPr>
          <w:rFonts w:ascii="Times New Roman" w:hAnsi="Times New Roman"/>
          <w:sz w:val="22"/>
        </w:rPr>
      </w:pPr>
      <w:r>
        <w:rPr>
          <w:rFonts w:ascii="Times New Roman" w:hAnsi="Times New Roman"/>
          <w:sz w:val="22"/>
        </w:rPr>
        <w:t>2</w:t>
      </w:r>
      <w:r w:rsidR="00E23215" w:rsidRPr="005D5ADD">
        <w:rPr>
          <w:rFonts w:ascii="Times New Roman" w:hAnsi="Times New Roman"/>
          <w:sz w:val="22"/>
        </w:rPr>
        <w:t>.  Myoglobin binds _______ O</w:t>
      </w:r>
      <w:r w:rsidR="00E23215" w:rsidRPr="005D5ADD">
        <w:rPr>
          <w:rFonts w:ascii="Times New Roman" w:hAnsi="Times New Roman"/>
          <w:sz w:val="22"/>
          <w:vertAlign w:val="subscript"/>
        </w:rPr>
        <w:t>2</w:t>
      </w:r>
      <w:r w:rsidR="00E23215" w:rsidRPr="005D5ADD">
        <w:rPr>
          <w:rFonts w:ascii="Times New Roman" w:hAnsi="Times New Roman"/>
          <w:sz w:val="22"/>
        </w:rPr>
        <w:t>, while hemoglobin binds _______ O</w:t>
      </w:r>
      <w:r w:rsidR="00E23215" w:rsidRPr="005D5ADD">
        <w:rPr>
          <w:rFonts w:ascii="Times New Roman" w:hAnsi="Times New Roman"/>
          <w:sz w:val="22"/>
          <w:vertAlign w:val="subscript"/>
        </w:rPr>
        <w:t>2</w:t>
      </w:r>
      <w:r w:rsidR="00E23215" w:rsidRPr="005D5ADD">
        <w:rPr>
          <w:rFonts w:ascii="Times New Roman" w:hAnsi="Times New Roman"/>
          <w:sz w:val="22"/>
        </w:rPr>
        <w:t>.</w:t>
      </w:r>
    </w:p>
    <w:p w:rsidR="00350996" w:rsidRPr="004729B1" w:rsidRDefault="004729B1" w:rsidP="004729B1">
      <w:pPr>
        <w:pStyle w:val="PlainText"/>
        <w:spacing w:before="60" w:after="60"/>
        <w:ind w:left="576" w:hanging="288"/>
        <w:rPr>
          <w:rFonts w:ascii="Times New Roman" w:hAnsi="Times New Roman"/>
          <w:sz w:val="22"/>
        </w:rPr>
      </w:pPr>
      <w:r>
        <w:rPr>
          <w:b/>
          <w:noProof/>
          <w:sz w:val="22"/>
        </w:rPr>
        <w:drawing>
          <wp:anchor distT="0" distB="0" distL="114300" distR="114300" simplePos="0" relativeHeight="251659264" behindDoc="0" locked="0" layoutInCell="1" allowOverlap="1" wp14:anchorId="4CAE5119" wp14:editId="566A13EE">
            <wp:simplePos x="0" y="0"/>
            <wp:positionH relativeFrom="column">
              <wp:posOffset>-337820</wp:posOffset>
            </wp:positionH>
            <wp:positionV relativeFrom="paragraph">
              <wp:posOffset>364490</wp:posOffset>
            </wp:positionV>
            <wp:extent cx="4813300" cy="2279650"/>
            <wp:effectExtent l="0" t="0" r="0" b="0"/>
            <wp:wrapTopAndBottom/>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A7A0E">
        <w:rPr>
          <w:rFonts w:ascii="Times New Roman" w:hAnsi="Times New Roman"/>
          <w:sz w:val="22"/>
        </w:rPr>
        <w:t xml:space="preserve">4. Sketch the binding curve for </w:t>
      </w:r>
      <w:r>
        <w:rPr>
          <w:rFonts w:ascii="Times New Roman" w:hAnsi="Times New Roman"/>
          <w:sz w:val="22"/>
        </w:rPr>
        <w:t>Myo (K</w:t>
      </w:r>
      <w:r>
        <w:rPr>
          <w:rFonts w:ascii="Times New Roman" w:hAnsi="Times New Roman"/>
          <w:sz w:val="22"/>
          <w:vertAlign w:val="subscript"/>
        </w:rPr>
        <w:t>D</w:t>
      </w:r>
      <w:r>
        <w:rPr>
          <w:rFonts w:ascii="Times New Roman" w:hAnsi="Times New Roman"/>
          <w:sz w:val="22"/>
        </w:rPr>
        <w:t xml:space="preserve"> = 0.2 kPa).</w:t>
      </w:r>
    </w:p>
    <w:p w:rsidR="00FA7A0E" w:rsidRDefault="00A64494" w:rsidP="00EB089E">
      <w:pPr>
        <w:pStyle w:val="PlainText"/>
        <w:spacing w:before="120" w:after="120"/>
        <w:ind w:left="576" w:hanging="288"/>
        <w:rPr>
          <w:rFonts w:ascii="Times New Roman" w:hAnsi="Times New Roman"/>
          <w:b/>
          <w:sz w:val="22"/>
        </w:rPr>
      </w:pPr>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9.4pt;margin-top:192.8pt;width:330pt;height:63.7pt;z-index:251665408;mso-position-horizontal-relative:text;mso-position-vertical-relative:text">
            <v:imagedata r:id="rId13" o:title=""/>
            <w10:wrap type="topAndBottom"/>
          </v:shape>
          <o:OLEObject Type="Embed" ProgID="ISISServer" ShapeID="_x0000_s1070" DrawAspect="Content" ObjectID="_1422133238" r:id="rId14"/>
        </w:pict>
      </w:r>
    </w:p>
    <w:p w:rsidR="00AA7A21" w:rsidRDefault="000F1972" w:rsidP="00FA7A0E">
      <w:pPr>
        <w:pStyle w:val="PlainText"/>
        <w:ind w:left="576" w:hanging="288"/>
        <w:rPr>
          <w:rFonts w:ascii="Times New Roman" w:hAnsi="Times New Roman"/>
          <w:b/>
          <w:sz w:val="22"/>
        </w:rPr>
      </w:pPr>
      <w:r>
        <w:rPr>
          <w:rFonts w:ascii="Times New Roman" w:hAnsi="Times New Roman"/>
          <w:b/>
          <w:sz w:val="22"/>
        </w:rPr>
        <w:t>13A.</w:t>
      </w:r>
      <w:r w:rsidR="00AA7A21">
        <w:rPr>
          <w:rFonts w:ascii="Times New Roman" w:hAnsi="Times New Roman"/>
          <w:b/>
          <w:sz w:val="22"/>
        </w:rPr>
        <w:t xml:space="preserve"> Allosteric Effects and Cooperativity:</w:t>
      </w:r>
    </w:p>
    <w:p w:rsidR="00ED14F4" w:rsidRDefault="00AA7A21" w:rsidP="00822C39">
      <w:pPr>
        <w:pStyle w:val="PlainText"/>
        <w:spacing w:before="120"/>
        <w:ind w:left="288"/>
        <w:jc w:val="both"/>
        <w:rPr>
          <w:rFonts w:ascii="Times New Roman" w:hAnsi="Times New Roman"/>
          <w:sz w:val="22"/>
        </w:rPr>
      </w:pPr>
      <w:r>
        <w:rPr>
          <w:rFonts w:ascii="Times New Roman" w:hAnsi="Times New Roman"/>
          <w:b/>
          <w:sz w:val="22"/>
        </w:rPr>
        <w:t>Allosteric</w:t>
      </w:r>
      <w:r>
        <w:rPr>
          <w:rFonts w:ascii="Times New Roman" w:hAnsi="Times New Roman"/>
          <w:sz w:val="22"/>
        </w:rPr>
        <w:t xml:space="preserve"> effects </w:t>
      </w:r>
      <w:r w:rsidR="00ED14F4">
        <w:rPr>
          <w:rFonts w:ascii="Times New Roman" w:hAnsi="Times New Roman"/>
          <w:sz w:val="22"/>
        </w:rPr>
        <w:t>are the change in the conformation of a protein due to binding of a ligand.</w:t>
      </w:r>
    </w:p>
    <w:p w:rsidR="00AA7A21" w:rsidRDefault="00ED14F4" w:rsidP="00822C39">
      <w:pPr>
        <w:pStyle w:val="PlainText"/>
        <w:spacing w:before="120"/>
        <w:ind w:left="288"/>
        <w:jc w:val="both"/>
        <w:rPr>
          <w:rFonts w:ascii="Times New Roman" w:hAnsi="Times New Roman"/>
          <w:sz w:val="22"/>
        </w:rPr>
      </w:pPr>
      <w:r w:rsidRPr="00ED14F4">
        <w:rPr>
          <w:rFonts w:ascii="Times New Roman" w:hAnsi="Times New Roman"/>
          <w:b/>
          <w:sz w:val="22"/>
        </w:rPr>
        <w:t>Cooperative</w:t>
      </w:r>
      <w:r>
        <w:rPr>
          <w:rFonts w:ascii="Times New Roman" w:hAnsi="Times New Roman"/>
          <w:sz w:val="22"/>
        </w:rPr>
        <w:t xml:space="preserve"> effects </w:t>
      </w:r>
      <w:r w:rsidR="00AA7A21">
        <w:rPr>
          <w:rFonts w:ascii="Times New Roman" w:hAnsi="Times New Roman"/>
          <w:sz w:val="22"/>
        </w:rPr>
        <w:t>occur when the bindi</w:t>
      </w:r>
      <w:r>
        <w:rPr>
          <w:rFonts w:ascii="Times New Roman" w:hAnsi="Times New Roman"/>
          <w:sz w:val="22"/>
        </w:rPr>
        <w:t>ng properties of the protein towards ligands</w:t>
      </w:r>
      <w:r w:rsidR="00AA7A21">
        <w:rPr>
          <w:rFonts w:ascii="Times New Roman" w:hAnsi="Times New Roman"/>
          <w:sz w:val="22"/>
        </w:rPr>
        <w:t xml:space="preserve"> chang</w:t>
      </w:r>
      <w:r>
        <w:rPr>
          <w:rFonts w:ascii="Times New Roman" w:hAnsi="Times New Roman"/>
          <w:sz w:val="22"/>
        </w:rPr>
        <w:t>e as a consequence of another</w:t>
      </w:r>
      <w:r w:rsidR="00AA7A21">
        <w:rPr>
          <w:rFonts w:ascii="Times New Roman" w:hAnsi="Times New Roman"/>
          <w:sz w:val="22"/>
        </w:rPr>
        <w:t xml:space="preserve"> lig</w:t>
      </w:r>
      <w:r>
        <w:rPr>
          <w:rFonts w:ascii="Times New Roman" w:hAnsi="Times New Roman"/>
          <w:sz w:val="22"/>
        </w:rPr>
        <w:t>and binding to the protein.</w:t>
      </w:r>
      <w:r w:rsidR="00AA7A21">
        <w:rPr>
          <w:rFonts w:ascii="Times New Roman" w:hAnsi="Times New Roman"/>
          <w:sz w:val="22"/>
        </w:rPr>
        <w:t xml:space="preserve">  There need not be a direct connection between the two ligands (i.e. they may bind to opposite sides of the protein, or even to different subunits).</w:t>
      </w:r>
      <w:r>
        <w:rPr>
          <w:rFonts w:ascii="Times New Roman" w:hAnsi="Times New Roman"/>
          <w:sz w:val="22"/>
        </w:rPr>
        <w:t xml:space="preserve"> </w:t>
      </w:r>
    </w:p>
    <w:p w:rsidR="00ED14F4" w:rsidRDefault="00ED14F4" w:rsidP="00894063">
      <w:pPr>
        <w:pStyle w:val="PlainText"/>
        <w:tabs>
          <w:tab w:val="center" w:pos="5112"/>
        </w:tabs>
        <w:spacing w:before="120"/>
        <w:ind w:left="288"/>
        <w:rPr>
          <w:rFonts w:ascii="Times New Roman" w:hAnsi="Times New Roman"/>
          <w:sz w:val="22"/>
        </w:rPr>
      </w:pPr>
      <w:r>
        <w:rPr>
          <w:rFonts w:ascii="Times New Roman" w:hAnsi="Times New Roman"/>
          <w:sz w:val="22"/>
        </w:rPr>
        <w:t>Cooperative</w:t>
      </w:r>
      <w:r w:rsidR="00AA7A21">
        <w:rPr>
          <w:rFonts w:ascii="Times New Roman" w:hAnsi="Times New Roman"/>
          <w:sz w:val="22"/>
        </w:rPr>
        <w:t xml:space="preserve"> </w:t>
      </w:r>
      <w:r>
        <w:rPr>
          <w:rFonts w:ascii="Times New Roman" w:hAnsi="Times New Roman"/>
          <w:sz w:val="22"/>
        </w:rPr>
        <w:t>behavior require</w:t>
      </w:r>
      <w:r w:rsidR="00822C39">
        <w:rPr>
          <w:rFonts w:ascii="Times New Roman" w:hAnsi="Times New Roman"/>
          <w:sz w:val="22"/>
        </w:rPr>
        <w:t>s</w:t>
      </w:r>
      <w:r>
        <w:rPr>
          <w:rFonts w:ascii="Times New Roman" w:hAnsi="Times New Roman"/>
          <w:sz w:val="22"/>
        </w:rPr>
        <w:t xml:space="preserve"> the presence of:</w:t>
      </w:r>
      <w:r w:rsidR="00894063">
        <w:rPr>
          <w:rFonts w:ascii="Times New Roman" w:hAnsi="Times New Roman"/>
          <w:sz w:val="22"/>
        </w:rPr>
        <w:tab/>
      </w:r>
    </w:p>
    <w:p w:rsidR="00ED14F4" w:rsidRDefault="00EB089E" w:rsidP="002017C9">
      <w:pPr>
        <w:pStyle w:val="PlainText"/>
        <w:spacing w:before="120"/>
        <w:ind w:left="576" w:right="5040" w:hanging="288"/>
        <w:rPr>
          <w:rFonts w:ascii="Times New Roman" w:hAnsi="Times New Roman"/>
          <w:sz w:val="22"/>
        </w:rPr>
      </w:pPr>
      <w:r>
        <w:rPr>
          <w:rFonts w:ascii="Times New Roman" w:hAnsi="Times New Roman"/>
          <w:sz w:val="22"/>
        </w:rPr>
        <w:t>i) At least two binding sites, these may b</w:t>
      </w:r>
      <w:r w:rsidR="00FA7A0E">
        <w:rPr>
          <w:rFonts w:ascii="Times New Roman" w:hAnsi="Times New Roman"/>
          <w:sz w:val="22"/>
        </w:rPr>
        <w:t>e on the same polypeptide chain, or  different subunits.</w:t>
      </w:r>
    </w:p>
    <w:p w:rsidR="00EB089E" w:rsidRDefault="00EB089E" w:rsidP="00822C39">
      <w:pPr>
        <w:pStyle w:val="PlainText"/>
        <w:spacing w:before="120"/>
        <w:ind w:left="576" w:hanging="288"/>
        <w:rPr>
          <w:rFonts w:ascii="Times New Roman" w:hAnsi="Times New Roman"/>
          <w:sz w:val="22"/>
        </w:rPr>
      </w:pPr>
    </w:p>
    <w:p w:rsidR="00350996" w:rsidRDefault="00350996" w:rsidP="00822C39">
      <w:pPr>
        <w:pStyle w:val="PlainText"/>
        <w:spacing w:before="120"/>
        <w:ind w:left="576" w:hanging="288"/>
        <w:rPr>
          <w:rFonts w:ascii="Times New Roman" w:hAnsi="Times New Roman"/>
          <w:sz w:val="22"/>
        </w:rPr>
      </w:pPr>
    </w:p>
    <w:p w:rsidR="00AA7A21" w:rsidRDefault="00A64494" w:rsidP="00822C39">
      <w:pPr>
        <w:pStyle w:val="PlainText"/>
        <w:spacing w:before="120"/>
        <w:ind w:left="576" w:hanging="288"/>
        <w:rPr>
          <w:rFonts w:ascii="Times New Roman" w:hAnsi="Times New Roman"/>
          <w:sz w:val="22"/>
        </w:rPr>
      </w:pPr>
      <w:r>
        <w:rPr>
          <w:rFonts w:ascii="Times New Roman" w:hAnsi="Times New Roman"/>
          <w:noProof/>
          <w:sz w:val="22"/>
        </w:rPr>
        <w:lastRenderedPageBreak/>
        <w:pict>
          <v:shape id="_x0000_s1055" type="#_x0000_t202" style="position:absolute;left:0;text-align:left;margin-left:324.45pt;margin-top:9.95pt;width:162pt;height:180pt;z-index:251658240" stroked="f">
            <v:textbox>
              <w:txbxContent>
                <w:p w:rsidR="000F1972" w:rsidRDefault="000F1972"/>
              </w:txbxContent>
            </v:textbox>
            <w10:wrap type="square" side="largest"/>
          </v:shape>
        </w:pict>
      </w:r>
      <w:r w:rsidR="00ED14F4">
        <w:rPr>
          <w:rFonts w:ascii="Times New Roman" w:hAnsi="Times New Roman"/>
          <w:sz w:val="22"/>
        </w:rPr>
        <w:t xml:space="preserve">ii) </w:t>
      </w:r>
      <w:r w:rsidR="00822C39">
        <w:rPr>
          <w:rFonts w:ascii="Times New Roman" w:hAnsi="Times New Roman"/>
          <w:sz w:val="22"/>
        </w:rPr>
        <w:t>T</w:t>
      </w:r>
      <w:r w:rsidR="00AA7A21">
        <w:rPr>
          <w:rFonts w:ascii="Times New Roman" w:hAnsi="Times New Roman"/>
          <w:sz w:val="22"/>
        </w:rPr>
        <w:t>wo forms of the macromolecule. One form, usually called the T or tense state, binds the primary ligand (e.g. oxygen) with low affinity.  The other form, usually called the R or relaxed state, binds ligand with high affinity.  The T and R states are in equilibrium with each other.</w:t>
      </w:r>
    </w:p>
    <w:p w:rsidR="00AA7A21" w:rsidRDefault="00AA7A21" w:rsidP="00822C39">
      <w:pPr>
        <w:pStyle w:val="PlainText"/>
        <w:numPr>
          <w:ilvl w:val="0"/>
          <w:numId w:val="7"/>
        </w:numPr>
        <w:spacing w:before="120"/>
        <w:rPr>
          <w:rFonts w:ascii="Times New Roman" w:hAnsi="Times New Roman"/>
          <w:sz w:val="22"/>
        </w:rPr>
      </w:pPr>
      <w:r>
        <w:rPr>
          <w:rFonts w:ascii="Times New Roman" w:hAnsi="Times New Roman"/>
          <w:sz w:val="22"/>
        </w:rPr>
        <w:t>In the case of positive cooperativity the fraction of T states exceeds that of the R state and the binding of ligand increases the amount of R state, thus increases the ease of ligand binding.</w:t>
      </w:r>
    </w:p>
    <w:p w:rsidR="00AA7A21" w:rsidRDefault="00AA7A21" w:rsidP="00822C39">
      <w:pPr>
        <w:pStyle w:val="PlainText"/>
        <w:numPr>
          <w:ilvl w:val="0"/>
          <w:numId w:val="7"/>
        </w:numPr>
        <w:spacing w:before="120"/>
        <w:rPr>
          <w:rFonts w:ascii="Times New Roman" w:hAnsi="Times New Roman"/>
          <w:sz w:val="22"/>
        </w:rPr>
      </w:pPr>
      <w:r>
        <w:rPr>
          <w:rFonts w:ascii="Times New Roman" w:hAnsi="Times New Roman"/>
          <w:sz w:val="22"/>
        </w:rPr>
        <w:t>In the case of negative cooperativity, the fraction of the T state is smaller than that of the R state. Thus, the initial binding affinity is high.  However, the binding of ligand increases the amount of T state, thus reducing the binding affinity.</w:t>
      </w:r>
    </w:p>
    <w:p w:rsidR="00AA7A21" w:rsidRDefault="00AA7A21" w:rsidP="00ED14F4">
      <w:pPr>
        <w:pStyle w:val="PlainText"/>
        <w:spacing w:before="120"/>
        <w:ind w:right="2160"/>
        <w:rPr>
          <w:rFonts w:ascii="Times New Roman" w:hAnsi="Times New Roman"/>
          <w:sz w:val="22"/>
        </w:rPr>
      </w:pPr>
      <w:r>
        <w:rPr>
          <w:rFonts w:ascii="Times New Roman" w:hAnsi="Times New Roman"/>
          <w:sz w:val="22"/>
        </w:rPr>
        <w:t>Allosteric effects are important in the reg</w:t>
      </w:r>
      <w:r w:rsidR="00FA7A0E">
        <w:rPr>
          <w:rFonts w:ascii="Times New Roman" w:hAnsi="Times New Roman"/>
          <w:sz w:val="22"/>
        </w:rPr>
        <w:t>ulation of enzymatic reactions.</w:t>
      </w:r>
    </w:p>
    <w:p w:rsidR="00AA7A21" w:rsidRPr="00865DDD" w:rsidRDefault="000F1972" w:rsidP="00AA7A21">
      <w:pPr>
        <w:pStyle w:val="PlainText"/>
        <w:spacing w:before="120"/>
        <w:jc w:val="both"/>
        <w:rPr>
          <w:rFonts w:ascii="Times New Roman" w:hAnsi="Times New Roman"/>
          <w:b/>
          <w:sz w:val="22"/>
        </w:rPr>
      </w:pPr>
      <w:r>
        <w:rPr>
          <w:rFonts w:ascii="Times New Roman" w:hAnsi="Times New Roman"/>
          <w:b/>
          <w:sz w:val="22"/>
        </w:rPr>
        <w:t xml:space="preserve">13B. </w:t>
      </w:r>
      <w:r w:rsidR="00EB089E">
        <w:rPr>
          <w:rFonts w:ascii="Times New Roman" w:hAnsi="Times New Roman"/>
          <w:b/>
          <w:sz w:val="22"/>
        </w:rPr>
        <w:t xml:space="preserve">Homotropic </w:t>
      </w:r>
      <w:r w:rsidR="00AA7A21" w:rsidRPr="00865DDD">
        <w:rPr>
          <w:rFonts w:ascii="Times New Roman" w:hAnsi="Times New Roman"/>
          <w:b/>
          <w:sz w:val="22"/>
        </w:rPr>
        <w:t>Allosteric Moderators:</w:t>
      </w:r>
    </w:p>
    <w:p w:rsidR="00AA7A21" w:rsidRDefault="00A64494" w:rsidP="00AA7A21">
      <w:pPr>
        <w:pStyle w:val="PlainText"/>
        <w:numPr>
          <w:ilvl w:val="0"/>
          <w:numId w:val="2"/>
        </w:numPr>
        <w:spacing w:before="120"/>
        <w:rPr>
          <w:rFonts w:ascii="Times New Roman" w:hAnsi="Times New Roman"/>
          <w:sz w:val="22"/>
        </w:rPr>
      </w:pPr>
      <w:r>
        <w:rPr>
          <w:rFonts w:ascii="Times New Roman" w:hAnsi="Times New Roman"/>
          <w:noProof/>
          <w:sz w:val="22"/>
        </w:rPr>
        <w:pict>
          <v:shape id="_x0000_s1050" type="#_x0000_t75" style="position:absolute;left:0;text-align:left;margin-left:85.45pt;margin-top:54.15pt;width:356pt;height:99.85pt;z-index:251655168">
            <v:imagedata r:id="rId15" o:title=""/>
            <w10:wrap type="topAndBottom"/>
          </v:shape>
          <o:OLEObject Type="Embed" ProgID="ISISServer" ShapeID="_x0000_s1050" DrawAspect="Content" ObjectID="_1422133239" r:id="rId16"/>
        </w:pict>
      </w:r>
      <w:r w:rsidR="00AA7A21">
        <w:rPr>
          <w:rFonts w:ascii="Times New Roman" w:hAnsi="Times New Roman"/>
          <w:sz w:val="22"/>
        </w:rPr>
        <w:t xml:space="preserve">If the two ligands are the same (e.g. oxygen affecting its own binding) then this is called a </w:t>
      </w:r>
      <w:r w:rsidR="00AA7A21">
        <w:rPr>
          <w:rFonts w:ascii="Times New Roman" w:hAnsi="Times New Roman"/>
          <w:b/>
          <w:sz w:val="22"/>
        </w:rPr>
        <w:t>homotropic</w:t>
      </w:r>
      <w:r w:rsidR="00AA7A21">
        <w:rPr>
          <w:rFonts w:ascii="Times New Roman" w:hAnsi="Times New Roman"/>
          <w:sz w:val="22"/>
        </w:rPr>
        <w:t xml:space="preserve"> allosteric effect.</w:t>
      </w:r>
      <w:r w:rsidR="00ED14F4">
        <w:rPr>
          <w:rFonts w:ascii="Times New Roman" w:hAnsi="Times New Roman"/>
          <w:sz w:val="22"/>
        </w:rPr>
        <w:t xml:space="preserve">  Example shown below is a </w:t>
      </w:r>
      <w:r w:rsidR="00ED14F4" w:rsidRPr="00822C39">
        <w:rPr>
          <w:rFonts w:ascii="Times New Roman" w:hAnsi="Times New Roman"/>
          <w:i/>
          <w:sz w:val="22"/>
        </w:rPr>
        <w:t>positive</w:t>
      </w:r>
      <w:r w:rsidR="00ED14F4">
        <w:rPr>
          <w:rFonts w:ascii="Times New Roman" w:hAnsi="Times New Roman"/>
          <w:sz w:val="22"/>
        </w:rPr>
        <w:t xml:space="preserve"> homotropic modul</w:t>
      </w:r>
      <w:r w:rsidR="00822C39">
        <w:rPr>
          <w:rFonts w:ascii="Times New Roman" w:hAnsi="Times New Roman"/>
          <w:sz w:val="22"/>
        </w:rPr>
        <w:t>ator, it increases the affinity of the  system.</w:t>
      </w:r>
    </w:p>
    <w:p w:rsidR="00AA7A21" w:rsidRDefault="00AA7A21" w:rsidP="00AA7A21">
      <w:pPr>
        <w:pStyle w:val="PlainText"/>
        <w:spacing w:before="120"/>
        <w:rPr>
          <w:rFonts w:ascii="Times New Roman" w:hAnsi="Times New Roman"/>
          <w:sz w:val="22"/>
        </w:rPr>
      </w:pPr>
    </w:p>
    <w:p w:rsidR="00EB089E" w:rsidRDefault="00EB089E"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350996" w:rsidRDefault="00350996" w:rsidP="0078614F">
      <w:pPr>
        <w:pStyle w:val="PlainText"/>
        <w:ind w:right="2880"/>
        <w:rPr>
          <w:rFonts w:ascii="Times New Roman" w:hAnsi="Times New Roman"/>
          <w:b/>
          <w:sz w:val="22"/>
        </w:rPr>
      </w:pPr>
    </w:p>
    <w:p w:rsidR="00EB089E" w:rsidRDefault="00460986" w:rsidP="0078614F">
      <w:pPr>
        <w:pStyle w:val="PlainText"/>
        <w:ind w:right="2880"/>
        <w:rPr>
          <w:rFonts w:ascii="Times New Roman" w:hAnsi="Times New Roman"/>
          <w:b/>
          <w:sz w:val="22"/>
        </w:rPr>
      </w:pPr>
      <w:r>
        <w:rPr>
          <w:rFonts w:ascii="Times New Roman" w:hAnsi="Times New Roman"/>
          <w:b/>
          <w:noProof/>
          <w:sz w:val="22"/>
        </w:rPr>
        <w:pict>
          <v:shape id="_x0000_s1073" type="#_x0000_t75" style="position:absolute;margin-left:287.4pt;margin-top:3.5pt;width:219.05pt;height:143.25pt;z-index:251667456;mso-wrap-distance-left:36pt;mso-wrap-distance-right:0;mso-wrap-distance-bottom:14.4pt">
            <v:imagedata r:id="rId17" o:title=""/>
            <w10:wrap type="square" side="left"/>
          </v:shape>
          <o:OLEObject Type="Embed" ProgID="ISISServer" ShapeID="_x0000_s1073" DrawAspect="Content" ObjectID="_1422133240" r:id="rId18"/>
        </w:pict>
      </w:r>
    </w:p>
    <w:p w:rsidR="00362C73" w:rsidRDefault="0078614F" w:rsidP="0078614F">
      <w:pPr>
        <w:pStyle w:val="PlainText"/>
        <w:ind w:right="2880"/>
        <w:rPr>
          <w:rFonts w:ascii="Times New Roman" w:hAnsi="Times New Roman"/>
          <w:b/>
          <w:sz w:val="22"/>
        </w:rPr>
      </w:pPr>
      <w:r>
        <w:rPr>
          <w:rFonts w:ascii="Times New Roman" w:hAnsi="Times New Roman"/>
          <w:b/>
          <w:sz w:val="22"/>
        </w:rPr>
        <w:t>Mechanism of p</w:t>
      </w:r>
      <w:r w:rsidR="00362C73">
        <w:rPr>
          <w:rFonts w:ascii="Times New Roman" w:hAnsi="Times New Roman"/>
          <w:b/>
          <w:sz w:val="22"/>
        </w:rPr>
        <w:t xml:space="preserve">ositive </w:t>
      </w:r>
      <w:r>
        <w:rPr>
          <w:rFonts w:ascii="Times New Roman" w:hAnsi="Times New Roman"/>
          <w:b/>
          <w:sz w:val="22"/>
        </w:rPr>
        <w:t>homotropic c</w:t>
      </w:r>
      <w:r w:rsidR="00362C73">
        <w:rPr>
          <w:rFonts w:ascii="Times New Roman" w:hAnsi="Times New Roman"/>
          <w:b/>
          <w:sz w:val="22"/>
        </w:rPr>
        <w:t>ooperativity in Hb:</w:t>
      </w:r>
      <w:r w:rsidR="004729B1" w:rsidRPr="004729B1">
        <w:rPr>
          <w:b/>
          <w:sz w:val="22"/>
        </w:rPr>
        <w:t xml:space="preserve"> </w:t>
      </w:r>
    </w:p>
    <w:p w:rsidR="00362C73" w:rsidRDefault="00362C73" w:rsidP="0078614F">
      <w:pPr>
        <w:pStyle w:val="PlainText"/>
        <w:numPr>
          <w:ilvl w:val="0"/>
          <w:numId w:val="4"/>
        </w:numPr>
        <w:spacing w:before="40"/>
        <w:ind w:right="3456"/>
        <w:rPr>
          <w:rFonts w:ascii="Times New Roman" w:hAnsi="Times New Roman"/>
          <w:sz w:val="22"/>
        </w:rPr>
      </w:pPr>
      <w:r>
        <w:rPr>
          <w:rFonts w:ascii="Times New Roman" w:hAnsi="Times New Roman"/>
          <w:sz w:val="22"/>
        </w:rPr>
        <w:t>Binding of O</w:t>
      </w:r>
      <w:r>
        <w:rPr>
          <w:rFonts w:ascii="Times New Roman" w:hAnsi="Times New Roman"/>
          <w:sz w:val="22"/>
          <w:vertAlign w:val="subscript"/>
        </w:rPr>
        <w:t>2</w:t>
      </w:r>
      <w:r>
        <w:rPr>
          <w:rFonts w:ascii="Times New Roman" w:hAnsi="Times New Roman"/>
          <w:sz w:val="22"/>
        </w:rPr>
        <w:t xml:space="preserve"> to Fe</w:t>
      </w:r>
      <w:r>
        <w:rPr>
          <w:rFonts w:ascii="Times New Roman" w:hAnsi="Times New Roman"/>
          <w:sz w:val="22"/>
          <w:vertAlign w:val="superscript"/>
        </w:rPr>
        <w:t>+2</w:t>
      </w:r>
      <w:r>
        <w:rPr>
          <w:rFonts w:ascii="Times New Roman" w:hAnsi="Times New Roman"/>
          <w:sz w:val="22"/>
        </w:rPr>
        <w:t xml:space="preserve"> in heme moves the proximal His residue and its attached helix (F)</w:t>
      </w:r>
    </w:p>
    <w:p w:rsidR="00362C73" w:rsidRDefault="00362C73" w:rsidP="0078614F">
      <w:pPr>
        <w:pStyle w:val="PlainText"/>
        <w:numPr>
          <w:ilvl w:val="0"/>
          <w:numId w:val="4"/>
        </w:numPr>
        <w:spacing w:before="40"/>
        <w:ind w:right="3456"/>
        <w:rPr>
          <w:rFonts w:ascii="Times New Roman" w:hAnsi="Times New Roman"/>
          <w:sz w:val="22"/>
        </w:rPr>
      </w:pPr>
      <w:r>
        <w:rPr>
          <w:rFonts w:ascii="Times New Roman" w:hAnsi="Times New Roman"/>
          <w:sz w:val="22"/>
        </w:rPr>
        <w:t xml:space="preserve">Helix F adjusts its conformation by movement of the </w:t>
      </w:r>
      <w:r>
        <w:rPr>
          <w:rFonts w:ascii="Times New Roman" w:hAnsi="Times New Roman"/>
          <w:sz w:val="22"/>
        </w:rPr>
        <w:sym w:font="Symbol" w:char="F061"/>
      </w:r>
      <w:r>
        <w:rPr>
          <w:rFonts w:ascii="Times New Roman" w:hAnsi="Times New Roman"/>
          <w:sz w:val="22"/>
        </w:rPr>
        <w:t xml:space="preserve"> and </w:t>
      </w:r>
      <w:r>
        <w:rPr>
          <w:rFonts w:ascii="Times New Roman" w:hAnsi="Times New Roman"/>
          <w:sz w:val="22"/>
        </w:rPr>
        <w:sym w:font="Symbol" w:char="F062"/>
      </w:r>
      <w:r>
        <w:rPr>
          <w:rFonts w:ascii="Times New Roman" w:hAnsi="Times New Roman"/>
          <w:sz w:val="22"/>
        </w:rPr>
        <w:t xml:space="preserve"> subunits.</w:t>
      </w:r>
    </w:p>
    <w:p w:rsidR="00362C73" w:rsidRDefault="00362C73" w:rsidP="0078614F">
      <w:pPr>
        <w:pStyle w:val="PlainText"/>
        <w:numPr>
          <w:ilvl w:val="0"/>
          <w:numId w:val="4"/>
        </w:numPr>
        <w:ind w:right="3456"/>
        <w:rPr>
          <w:rFonts w:ascii="Times New Roman" w:hAnsi="Times New Roman"/>
          <w:sz w:val="22"/>
        </w:rPr>
      </w:pPr>
      <w:r w:rsidRPr="00F3402D">
        <w:rPr>
          <w:rFonts w:ascii="Times New Roman" w:hAnsi="Times New Roman"/>
          <w:sz w:val="22"/>
        </w:rPr>
        <w:t xml:space="preserve">Change in interaction between the </w:t>
      </w:r>
      <w:r>
        <w:rPr>
          <w:rFonts w:ascii="Times New Roman" w:hAnsi="Times New Roman"/>
          <w:sz w:val="22"/>
        </w:rPr>
        <w:t>α</w:t>
      </w:r>
      <w:r w:rsidRPr="00F3402D">
        <w:rPr>
          <w:rFonts w:ascii="Times New Roman" w:hAnsi="Times New Roman"/>
          <w:sz w:val="22"/>
        </w:rPr>
        <w:t xml:space="preserve"> and </w:t>
      </w:r>
      <w:r>
        <w:rPr>
          <w:rFonts w:ascii="Times New Roman" w:hAnsi="Times New Roman"/>
          <w:sz w:val="22"/>
        </w:rPr>
        <w:t>β</w:t>
      </w:r>
      <w:r w:rsidRPr="00F3402D">
        <w:rPr>
          <w:rFonts w:ascii="Times New Roman" w:hAnsi="Times New Roman"/>
          <w:sz w:val="22"/>
        </w:rPr>
        <w:t xml:space="preserve"> subunits causes a conformational change to the R-state.</w:t>
      </w:r>
    </w:p>
    <w:p w:rsidR="0078614F" w:rsidRDefault="0078614F" w:rsidP="0078614F">
      <w:pPr>
        <w:pStyle w:val="PlainText"/>
        <w:ind w:right="2880"/>
        <w:rPr>
          <w:rFonts w:ascii="Times New Roman" w:hAnsi="Times New Roman"/>
          <w:sz w:val="22"/>
        </w:rPr>
      </w:pPr>
    </w:p>
    <w:p w:rsidR="00EB089E" w:rsidRDefault="00EB089E" w:rsidP="0078614F">
      <w:pPr>
        <w:pStyle w:val="PlainText"/>
        <w:ind w:right="2880"/>
        <w:rPr>
          <w:rFonts w:ascii="Times New Roman" w:hAnsi="Times New Roman"/>
          <w:b/>
          <w:sz w:val="22"/>
        </w:rPr>
      </w:pPr>
    </w:p>
    <w:p w:rsidR="004729B1" w:rsidRDefault="004729B1" w:rsidP="0078614F">
      <w:pPr>
        <w:pStyle w:val="PlainText"/>
        <w:ind w:right="2880"/>
        <w:rPr>
          <w:rFonts w:ascii="Times New Roman" w:hAnsi="Times New Roman"/>
          <w:b/>
          <w:sz w:val="22"/>
        </w:rPr>
      </w:pPr>
    </w:p>
    <w:p w:rsidR="0078614F" w:rsidRPr="0078614F" w:rsidRDefault="00EB089E" w:rsidP="0078614F">
      <w:pPr>
        <w:pStyle w:val="PlainText"/>
        <w:ind w:right="2880"/>
        <w:rPr>
          <w:rFonts w:ascii="Times New Roman" w:hAnsi="Times New Roman"/>
          <w:b/>
          <w:sz w:val="22"/>
        </w:rPr>
      </w:pPr>
      <w:r>
        <w:rPr>
          <w:rFonts w:ascii="Times New Roman" w:hAnsi="Times New Roman"/>
          <w:b/>
          <w:sz w:val="22"/>
        </w:rPr>
        <w:lastRenderedPageBreak/>
        <w:t xml:space="preserve">13C. </w:t>
      </w:r>
      <w:r w:rsidR="0078614F" w:rsidRPr="0078614F">
        <w:rPr>
          <w:rFonts w:ascii="Times New Roman" w:hAnsi="Times New Roman"/>
          <w:b/>
          <w:sz w:val="22"/>
        </w:rPr>
        <w:t>Heterotropic Allosteric Effects.</w:t>
      </w:r>
    </w:p>
    <w:p w:rsidR="00AA7A21" w:rsidRDefault="00A64494" w:rsidP="00AA7A21">
      <w:pPr>
        <w:pStyle w:val="PlainText"/>
        <w:numPr>
          <w:ilvl w:val="0"/>
          <w:numId w:val="2"/>
        </w:numPr>
        <w:rPr>
          <w:rFonts w:ascii="Times New Roman" w:hAnsi="Times New Roman"/>
          <w:sz w:val="22"/>
        </w:rPr>
      </w:pPr>
      <w:bookmarkStart w:id="0" w:name="_GoBack"/>
      <w:r>
        <w:rPr>
          <w:rFonts w:ascii="Times New Roman" w:hAnsi="Times New Roman"/>
          <w:noProof/>
          <w:sz w:val="22"/>
        </w:rPr>
        <w:pict>
          <v:shape id="_x0000_s1048" type="#_x0000_t75" style="position:absolute;left:0;text-align:left;margin-left:112.35pt;margin-top:90.7pt;width:293.05pt;height:155.65pt;z-index:251654144;mso-position-vertical-relative:page">
            <v:imagedata r:id="rId19" o:title=""/>
            <w10:wrap type="topAndBottom" anchory="page"/>
          </v:shape>
          <o:OLEObject Type="Embed" ProgID="ISISServer" ShapeID="_x0000_s1048" DrawAspect="Content" ObjectID="_1422133241" r:id="rId20"/>
        </w:pict>
      </w:r>
      <w:bookmarkEnd w:id="0"/>
      <w:r w:rsidR="00AA7A21">
        <w:rPr>
          <w:rFonts w:ascii="Times New Roman" w:hAnsi="Times New Roman"/>
          <w:sz w:val="22"/>
        </w:rPr>
        <w:t>If the two ligands are</w:t>
      </w:r>
      <w:r w:rsidR="00ED14F4">
        <w:rPr>
          <w:rFonts w:ascii="Times New Roman" w:hAnsi="Times New Roman"/>
          <w:sz w:val="22"/>
        </w:rPr>
        <w:t xml:space="preserve"> different</w:t>
      </w:r>
      <w:r w:rsidR="00AA7A21">
        <w:rPr>
          <w:rFonts w:ascii="Times New Roman" w:hAnsi="Times New Roman"/>
          <w:sz w:val="22"/>
        </w:rPr>
        <w:t xml:space="preserve">, then this is called a </w:t>
      </w:r>
      <w:r w:rsidR="00AA7A21">
        <w:rPr>
          <w:rFonts w:ascii="Times New Roman" w:hAnsi="Times New Roman"/>
          <w:b/>
          <w:sz w:val="22"/>
        </w:rPr>
        <w:t>heterotropic</w:t>
      </w:r>
      <w:r w:rsidR="00AA7A21">
        <w:rPr>
          <w:rFonts w:ascii="Times New Roman" w:hAnsi="Times New Roman"/>
          <w:sz w:val="22"/>
        </w:rPr>
        <w:t xml:space="preserve"> allosteric effect.</w:t>
      </w:r>
      <w:r w:rsidR="00E1410E">
        <w:rPr>
          <w:rFonts w:ascii="Times New Roman" w:hAnsi="Times New Roman"/>
          <w:sz w:val="22"/>
        </w:rPr>
        <w:t xml:space="preserve">  The example shows both a</w:t>
      </w:r>
      <w:r w:rsidR="00ED14F4">
        <w:rPr>
          <w:rFonts w:ascii="Times New Roman" w:hAnsi="Times New Roman"/>
          <w:sz w:val="22"/>
        </w:rPr>
        <w:t xml:space="preserve"> heterotropic </w:t>
      </w:r>
      <w:r w:rsidR="00ED14F4" w:rsidRPr="00822C39">
        <w:rPr>
          <w:rFonts w:ascii="Times New Roman" w:hAnsi="Times New Roman"/>
          <w:i/>
          <w:sz w:val="22"/>
        </w:rPr>
        <w:t>negative</w:t>
      </w:r>
      <w:r w:rsidR="00ED14F4">
        <w:rPr>
          <w:rFonts w:ascii="Times New Roman" w:hAnsi="Times New Roman"/>
          <w:sz w:val="22"/>
        </w:rPr>
        <w:t xml:space="preserve"> allosteric modulator</w:t>
      </w:r>
      <w:r w:rsidR="00822C39">
        <w:rPr>
          <w:rFonts w:ascii="Times New Roman" w:hAnsi="Times New Roman"/>
          <w:sz w:val="22"/>
        </w:rPr>
        <w:t xml:space="preserve"> (I)</w:t>
      </w:r>
      <w:r w:rsidR="00ED14F4">
        <w:rPr>
          <w:rFonts w:ascii="Times New Roman" w:hAnsi="Times New Roman"/>
          <w:sz w:val="22"/>
        </w:rPr>
        <w:t>,</w:t>
      </w:r>
      <w:r w:rsidR="00822C39">
        <w:rPr>
          <w:rFonts w:ascii="Times New Roman" w:hAnsi="Times New Roman"/>
          <w:sz w:val="22"/>
        </w:rPr>
        <w:t xml:space="preserve"> and a </w:t>
      </w:r>
      <w:r w:rsidR="00822C39" w:rsidRPr="00E1410E">
        <w:rPr>
          <w:rFonts w:ascii="Times New Roman" w:hAnsi="Times New Roman"/>
          <w:i/>
          <w:sz w:val="22"/>
        </w:rPr>
        <w:t>positive</w:t>
      </w:r>
      <w:r w:rsidR="00822C39">
        <w:rPr>
          <w:rFonts w:ascii="Times New Roman" w:hAnsi="Times New Roman"/>
          <w:sz w:val="22"/>
        </w:rPr>
        <w:t xml:space="preserve"> allosteric activator (A).</w:t>
      </w:r>
    </w:p>
    <w:p w:rsidR="000F1972" w:rsidRDefault="000F1972" w:rsidP="00AA7A21">
      <w:pPr>
        <w:pStyle w:val="PlainText"/>
        <w:rPr>
          <w:rFonts w:ascii="Times New Roman" w:hAnsi="Times New Roman"/>
          <w:b/>
          <w:sz w:val="22"/>
        </w:rPr>
      </w:pPr>
    </w:p>
    <w:p w:rsidR="00350996" w:rsidRDefault="00460986" w:rsidP="00AA7A21">
      <w:pPr>
        <w:pStyle w:val="PlainText"/>
        <w:rPr>
          <w:rFonts w:ascii="Times New Roman" w:hAnsi="Times New Roman"/>
          <w:b/>
          <w:sz w:val="22"/>
        </w:rPr>
      </w:pPr>
      <w:r>
        <w:rPr>
          <w:rFonts w:ascii="Times New Roman" w:hAnsi="Times New Roman"/>
          <w:b/>
          <w:noProof/>
          <w:sz w:val="22"/>
        </w:rPr>
        <w:pict>
          <v:shape id="_x0000_s1066" type="#_x0000_t202" style="position:absolute;margin-left:282.4pt;margin-top:13pt;width:229.75pt;height:363.85pt;z-index:251662336" stroked="f">
            <v:textbox style="mso-next-textbox:#_x0000_s1066">
              <w:txbxContent>
                <w:p w:rsidR="00EB089E" w:rsidRDefault="00EB089E"/>
              </w:txbxContent>
            </v:textbox>
            <w10:wrap type="square"/>
          </v:shape>
        </w:pict>
      </w:r>
      <w:r w:rsidR="00350996">
        <w:rPr>
          <w:rFonts w:ascii="Times New Roman" w:hAnsi="Times New Roman"/>
          <w:b/>
          <w:sz w:val="22"/>
        </w:rPr>
        <w:t>Non-cooperative binding:</w:t>
      </w:r>
    </w:p>
    <w:p w:rsidR="000F1972" w:rsidRPr="00350996" w:rsidRDefault="00350996" w:rsidP="00350996">
      <w:pPr>
        <w:pStyle w:val="PlainText"/>
        <w:numPr>
          <w:ilvl w:val="0"/>
          <w:numId w:val="8"/>
        </w:numPr>
        <w:rPr>
          <w:rFonts w:ascii="Times New Roman" w:hAnsi="Times New Roman"/>
          <w:sz w:val="22"/>
        </w:rPr>
      </w:pPr>
      <w:r w:rsidRPr="00350996">
        <w:rPr>
          <w:rFonts w:ascii="Times New Roman" w:hAnsi="Times New Roman"/>
          <w:sz w:val="22"/>
        </w:rPr>
        <w:t>Allosteric activators decrease the K</w:t>
      </w:r>
      <w:r w:rsidRPr="00350996">
        <w:rPr>
          <w:rFonts w:ascii="Times New Roman" w:hAnsi="Times New Roman"/>
          <w:sz w:val="22"/>
          <w:vertAlign w:val="subscript"/>
        </w:rPr>
        <w:t>D</w:t>
      </w:r>
      <w:r w:rsidRPr="00350996">
        <w:rPr>
          <w:rFonts w:ascii="Times New Roman" w:hAnsi="Times New Roman"/>
          <w:sz w:val="22"/>
        </w:rPr>
        <w:t xml:space="preserve"> for the other ligand</w:t>
      </w:r>
    </w:p>
    <w:p w:rsidR="00350996" w:rsidRPr="00350996" w:rsidRDefault="00350996" w:rsidP="00350996">
      <w:pPr>
        <w:pStyle w:val="PlainText"/>
        <w:numPr>
          <w:ilvl w:val="0"/>
          <w:numId w:val="8"/>
        </w:numPr>
        <w:rPr>
          <w:rFonts w:ascii="Times New Roman" w:hAnsi="Times New Roman"/>
          <w:sz w:val="22"/>
        </w:rPr>
      </w:pPr>
      <w:r w:rsidRPr="00350996">
        <w:rPr>
          <w:rFonts w:ascii="Times New Roman" w:hAnsi="Times New Roman"/>
          <w:sz w:val="22"/>
        </w:rPr>
        <w:t>Allosteric inhibitors increase the K</w:t>
      </w:r>
      <w:r w:rsidRPr="00350996">
        <w:rPr>
          <w:rFonts w:ascii="Times New Roman" w:hAnsi="Times New Roman"/>
          <w:sz w:val="22"/>
          <w:vertAlign w:val="subscript"/>
        </w:rPr>
        <w:t>D</w:t>
      </w:r>
      <w:r w:rsidRPr="00350996">
        <w:rPr>
          <w:rFonts w:ascii="Times New Roman" w:hAnsi="Times New Roman"/>
          <w:sz w:val="22"/>
        </w:rPr>
        <w:t xml:space="preserve"> for the other ligand</w:t>
      </w:r>
    </w:p>
    <w:p w:rsidR="000F1972" w:rsidRDefault="000F1972" w:rsidP="00AA7A21">
      <w:pPr>
        <w:pStyle w:val="PlainText"/>
        <w:rPr>
          <w:rFonts w:ascii="Times New Roman" w:hAnsi="Times New Roman"/>
          <w:b/>
          <w:sz w:val="22"/>
        </w:rPr>
      </w:pPr>
    </w:p>
    <w:p w:rsidR="004729B1" w:rsidRDefault="00AA7A21" w:rsidP="00876A31">
      <w:pPr>
        <w:pStyle w:val="PlainText"/>
        <w:spacing w:before="80"/>
        <w:rPr>
          <w:rFonts w:ascii="Times New Roman" w:hAnsi="Times New Roman"/>
          <w:sz w:val="22"/>
        </w:rPr>
      </w:pPr>
      <w:r>
        <w:rPr>
          <w:rFonts w:ascii="Times New Roman" w:hAnsi="Times New Roman"/>
          <w:b/>
          <w:sz w:val="22"/>
        </w:rPr>
        <w:t xml:space="preserve">Heterotropic Allosteric Effectors in </w:t>
      </w:r>
      <w:r w:rsidR="00350996">
        <w:rPr>
          <w:rFonts w:ascii="Times New Roman" w:hAnsi="Times New Roman"/>
          <w:b/>
          <w:sz w:val="22"/>
        </w:rPr>
        <w:t xml:space="preserve">Cooperative systems </w:t>
      </w:r>
      <w:r w:rsidR="00681FE9" w:rsidRPr="00681FE9">
        <w:rPr>
          <w:rFonts w:ascii="Times New Roman" w:hAnsi="Times New Roman"/>
          <w:sz w:val="22"/>
        </w:rPr>
        <w:t>These will change the affinity and cooperatively for the second ligand</w:t>
      </w:r>
      <w:r w:rsidR="004729B1">
        <w:rPr>
          <w:rFonts w:ascii="Times New Roman" w:hAnsi="Times New Roman"/>
          <w:sz w:val="22"/>
        </w:rPr>
        <w:t>.</w:t>
      </w:r>
    </w:p>
    <w:p w:rsidR="004729B1" w:rsidRDefault="004729B1" w:rsidP="00460986">
      <w:pPr>
        <w:pStyle w:val="PlainText"/>
        <w:numPr>
          <w:ilvl w:val="0"/>
          <w:numId w:val="9"/>
        </w:numPr>
        <w:rPr>
          <w:rFonts w:ascii="Times New Roman" w:hAnsi="Times New Roman"/>
          <w:sz w:val="22"/>
        </w:rPr>
      </w:pPr>
      <w:r>
        <w:rPr>
          <w:rFonts w:ascii="Times New Roman" w:hAnsi="Times New Roman"/>
          <w:sz w:val="22"/>
        </w:rPr>
        <w:t>Activators – increase affinity, curve shifts to the left.</w:t>
      </w:r>
    </w:p>
    <w:p w:rsidR="00681FE9" w:rsidRPr="00681FE9" w:rsidRDefault="004729B1" w:rsidP="00460986">
      <w:pPr>
        <w:pStyle w:val="PlainText"/>
        <w:numPr>
          <w:ilvl w:val="0"/>
          <w:numId w:val="9"/>
        </w:numPr>
        <w:rPr>
          <w:rFonts w:ascii="Times New Roman" w:hAnsi="Times New Roman"/>
          <w:sz w:val="22"/>
        </w:rPr>
      </w:pPr>
      <w:r>
        <w:rPr>
          <w:rFonts w:ascii="Times New Roman" w:hAnsi="Times New Roman"/>
          <w:sz w:val="22"/>
        </w:rPr>
        <w:t>Inhibitors – decrease affinity, curve shifts to the right.</w:t>
      </w:r>
    </w:p>
    <w:p w:rsidR="00AA7A21" w:rsidRDefault="00681FE9" w:rsidP="00681FE9">
      <w:pPr>
        <w:pStyle w:val="PlainText"/>
        <w:spacing w:before="80"/>
        <w:rPr>
          <w:rFonts w:ascii="Times New Roman" w:hAnsi="Times New Roman"/>
          <w:sz w:val="22"/>
        </w:rPr>
      </w:pPr>
      <w:r>
        <w:rPr>
          <w:rFonts w:ascii="Times New Roman" w:hAnsi="Times New Roman"/>
          <w:b/>
          <w:sz w:val="22"/>
        </w:rPr>
        <w:t xml:space="preserve">Hemoglobin: </w:t>
      </w:r>
      <w:r w:rsidR="00AA7A21">
        <w:rPr>
          <w:rFonts w:ascii="Times New Roman" w:hAnsi="Times New Roman"/>
          <w:sz w:val="22"/>
        </w:rPr>
        <w:t>There are many het</w:t>
      </w:r>
      <w:r w:rsidR="00F3402D">
        <w:rPr>
          <w:rFonts w:ascii="Times New Roman" w:hAnsi="Times New Roman"/>
          <w:sz w:val="22"/>
        </w:rPr>
        <w:t>erotropic allosteric effectors of oxygen binding i</w:t>
      </w:r>
      <w:r w:rsidR="00AA7A21">
        <w:rPr>
          <w:rFonts w:ascii="Times New Roman" w:hAnsi="Times New Roman"/>
          <w:sz w:val="22"/>
        </w:rPr>
        <w:t>n Hemoglobin, two examples are:</w:t>
      </w:r>
    </w:p>
    <w:p w:rsidR="00AA7A21" w:rsidRDefault="00AA7A21" w:rsidP="00C232C2">
      <w:pPr>
        <w:pStyle w:val="PlainText"/>
        <w:spacing w:before="40"/>
        <w:ind w:left="216" w:hanging="216"/>
        <w:rPr>
          <w:rFonts w:ascii="Times New Roman" w:hAnsi="Times New Roman"/>
          <w:sz w:val="22"/>
        </w:rPr>
      </w:pPr>
      <w:r>
        <w:rPr>
          <w:rFonts w:ascii="Times New Roman" w:hAnsi="Times New Roman"/>
          <w:sz w:val="22"/>
        </w:rPr>
        <w:t>1. Protons: oxygen affinity is decreased at low pH, such as in active muscle that is producing lactic acid. This provides an immediate response to the metabolic state of the tissue.</w:t>
      </w:r>
    </w:p>
    <w:p w:rsidR="00AA7A21" w:rsidRDefault="00AA7A21" w:rsidP="00C232C2">
      <w:pPr>
        <w:pStyle w:val="PlainText"/>
        <w:spacing w:before="40"/>
        <w:ind w:left="216" w:hanging="216"/>
        <w:rPr>
          <w:rFonts w:ascii="Times New Roman" w:hAnsi="Times New Roman"/>
          <w:sz w:val="22"/>
        </w:rPr>
      </w:pPr>
      <w:r>
        <w:rPr>
          <w:rFonts w:ascii="Times New Roman" w:hAnsi="Times New Roman"/>
          <w:sz w:val="22"/>
        </w:rPr>
        <w:t>2. BPG: bis-phosphoglycerate binds to the deoxy form of hemoglobin. Therefore it reduces oxygen affinity.  This is an adaptive response, requiring several days at high altitude. The production of excess BPG, although it reduces the oxygen affinity, it makes the protein more efficient at delivering oxygen to the tissues.</w:t>
      </w:r>
    </w:p>
    <w:p w:rsidR="00FA7A0E" w:rsidRPr="00681FE9" w:rsidRDefault="00A64494" w:rsidP="00C232C2">
      <w:pPr>
        <w:pStyle w:val="PlainText"/>
        <w:spacing w:before="40"/>
        <w:rPr>
          <w:rFonts w:ascii="Times New Roman" w:hAnsi="Times New Roman"/>
          <w:sz w:val="22"/>
        </w:rPr>
      </w:pPr>
      <w:r>
        <w:rPr>
          <w:rFonts w:ascii="Times New Roman" w:hAnsi="Times New Roman"/>
          <w:noProof/>
          <w:sz w:val="22"/>
        </w:rPr>
        <w:pict>
          <v:shape id="_x0000_s1061" type="#_x0000_t75" style="position:absolute;margin-left:-5.85pt;margin-top:671.3pt;width:483.85pt;height:63.4pt;z-index:-251655168;mso-wrap-distance-right:0;mso-position-vertical-relative:page" wrapcoords="3941 480 243 1120 49 1280 49 6560 4038 8160 6178 8160 6227 13280 4914 15360 4914 20480 6908 20960 14254 20960 21503 20960 21600 16000 21308 15840 6665 13280 6616 8160 7005 8160 7832 6400 7881 1440 7395 1120 4184 480 3941 480" o:allowoverlap="f">
            <v:imagedata r:id="rId21" o:title=""/>
            <w10:wrap type="topAndBottom" side="largest" anchory="page"/>
          </v:shape>
          <o:OLEObject Type="Embed" ProgID="ISISServer" ShapeID="_x0000_s1061" DrawAspect="Content" ObjectID="_1422133242" r:id="rId22"/>
        </w:pict>
      </w:r>
      <w:r w:rsidR="00AA7A21">
        <w:rPr>
          <w:rFonts w:ascii="Times New Roman" w:hAnsi="Times New Roman"/>
          <w:sz w:val="22"/>
        </w:rPr>
        <w:t>In the above examples, the tense state of hemoglobin becomes more prevalent than the relaxed state.  The allosteric effector stabilizes the tense state, or lowers its energy relative to that of the relaxed state.  Consequently, the oxygen affinity is reduced and the binding</w:t>
      </w:r>
      <w:r w:rsidR="00FA7A0E">
        <w:rPr>
          <w:rFonts w:ascii="Times New Roman" w:hAnsi="Times New Roman"/>
          <w:sz w:val="22"/>
        </w:rPr>
        <w:t xml:space="preserve"> curve is shifted to the right.</w:t>
      </w:r>
      <w:r w:rsidR="00681FE9">
        <w:rPr>
          <w:rFonts w:ascii="Times New Roman" w:hAnsi="Times New Roman"/>
          <w:sz w:val="22"/>
        </w:rPr>
        <w:t xml:space="preserve"> Note that the system, with respect to oxygen binding is still cooperative, and eventually high levels of O</w:t>
      </w:r>
      <w:r w:rsidR="00681FE9">
        <w:rPr>
          <w:rFonts w:ascii="Times New Roman" w:hAnsi="Times New Roman"/>
          <w:sz w:val="22"/>
          <w:vertAlign w:val="subscript"/>
        </w:rPr>
        <w:t>2</w:t>
      </w:r>
      <w:r w:rsidR="00681FE9">
        <w:rPr>
          <w:rFonts w:ascii="Times New Roman" w:hAnsi="Times New Roman"/>
          <w:sz w:val="22"/>
        </w:rPr>
        <w:t xml:space="preserve"> will shift the equilibrium to the R state.</w:t>
      </w:r>
    </w:p>
    <w:p w:rsidR="0099399D" w:rsidRDefault="00FA7A0E" w:rsidP="00FA7A0E">
      <w:pPr>
        <w:pStyle w:val="PlainText"/>
        <w:spacing w:before="120"/>
        <w:ind w:firstLine="720"/>
        <w:rPr>
          <w:rFonts w:ascii="Times New Roman" w:hAnsi="Times New Roman"/>
          <w:sz w:val="22"/>
        </w:rPr>
      </w:pPr>
      <w:r>
        <w:rPr>
          <w:rFonts w:ascii="Times New Roman" w:hAnsi="Times New Roman"/>
          <w:sz w:val="22"/>
        </w:rPr>
        <w:lastRenderedPageBreak/>
        <w:t xml:space="preserve">In the case of BPG, this seemingly contradictory behavior actually enhances </w:t>
      </w:r>
      <w:r w:rsidRPr="00FA7A0E">
        <w:rPr>
          <w:rFonts w:ascii="Times New Roman" w:hAnsi="Times New Roman"/>
          <w:sz w:val="22"/>
        </w:rPr>
        <w:t>O</w:t>
      </w:r>
      <w:r w:rsidRPr="00FA7A0E">
        <w:rPr>
          <w:rFonts w:ascii="Times New Roman" w:hAnsi="Times New Roman"/>
          <w:sz w:val="22"/>
          <w:vertAlign w:val="subscript"/>
        </w:rPr>
        <w:t>2</w:t>
      </w:r>
      <w:r>
        <w:rPr>
          <w:rFonts w:ascii="Times New Roman" w:hAnsi="Times New Roman"/>
          <w:sz w:val="22"/>
        </w:rPr>
        <w:t xml:space="preserve"> delivery because of a change in the shape of the binding curve. Note that o</w:t>
      </w:r>
      <w:r w:rsidR="0099399D">
        <w:rPr>
          <w:rFonts w:ascii="Times New Roman" w:hAnsi="Times New Roman"/>
          <w:sz w:val="22"/>
        </w:rPr>
        <w:t>xygen still acts as a homotropic allosteric activator, producing cooperative oxygen binding curves, but higher levels of oxygen are required to saturate, and th</w:t>
      </w:r>
      <w:r>
        <w:rPr>
          <w:rFonts w:ascii="Times New Roman" w:hAnsi="Times New Roman"/>
          <w:sz w:val="22"/>
        </w:rPr>
        <w:t>e shape of the binding curve</w:t>
      </w:r>
      <w:r w:rsidR="0099399D">
        <w:rPr>
          <w:rFonts w:ascii="Times New Roman" w:hAnsi="Times New Roman"/>
          <w:sz w:val="22"/>
        </w:rPr>
        <w:t xml:space="preserve"> change</w:t>
      </w:r>
      <w:r>
        <w:rPr>
          <w:rFonts w:ascii="Times New Roman" w:hAnsi="Times New Roman"/>
          <w:sz w:val="22"/>
        </w:rPr>
        <w:t>s</w:t>
      </w:r>
      <w:r w:rsidR="0099399D">
        <w:rPr>
          <w:rFonts w:ascii="Times New Roman" w:hAnsi="Times New Roman"/>
          <w:sz w:val="22"/>
        </w:rPr>
        <w:t>.</w:t>
      </w:r>
    </w:p>
    <w:p w:rsidR="00EB089E" w:rsidRDefault="00EB089E" w:rsidP="000F1972">
      <w:pPr>
        <w:pStyle w:val="PlainText"/>
        <w:rPr>
          <w:rFonts w:ascii="Times New Roman" w:hAnsi="Times New Roman"/>
          <w:b/>
          <w:sz w:val="22"/>
        </w:rPr>
      </w:pPr>
    </w:p>
    <w:p w:rsidR="000F1972" w:rsidRDefault="000F1972" w:rsidP="000F1972">
      <w:pPr>
        <w:pStyle w:val="PlainText"/>
        <w:rPr>
          <w:rFonts w:ascii="Times New Roman" w:hAnsi="Times New Roman"/>
          <w:b/>
          <w:sz w:val="22"/>
        </w:rPr>
      </w:pPr>
      <w:r w:rsidRPr="009E4E1E">
        <w:rPr>
          <w:rFonts w:ascii="Times New Roman" w:hAnsi="Times New Roman"/>
          <w:b/>
          <w:sz w:val="22"/>
        </w:rPr>
        <w:t>Molecular nature of the action of BPG:</w:t>
      </w:r>
    </w:p>
    <w:p w:rsidR="000F1972" w:rsidRDefault="000F1972" w:rsidP="000F1972">
      <w:pPr>
        <w:pStyle w:val="PlainText"/>
        <w:numPr>
          <w:ilvl w:val="0"/>
          <w:numId w:val="6"/>
        </w:numPr>
        <w:tabs>
          <w:tab w:val="clear" w:pos="360"/>
          <w:tab w:val="num" w:pos="720"/>
        </w:tabs>
        <w:ind w:left="720"/>
        <w:rPr>
          <w:rFonts w:ascii="Times New Roman" w:hAnsi="Times New Roman"/>
          <w:sz w:val="22"/>
        </w:rPr>
      </w:pPr>
      <w:r>
        <w:rPr>
          <w:rFonts w:ascii="Times New Roman" w:hAnsi="Times New Roman"/>
          <w:sz w:val="22"/>
        </w:rPr>
        <w:t>In deoxy hemoglobin, a positively charged binding pocket exists between two of the four subunits. Thus BPG can easily bind, and when it does so, it stabilizes the deoxy , or tense, form of the protein.</w:t>
      </w:r>
    </w:p>
    <w:p w:rsidR="00AA7A21" w:rsidRDefault="000F1972" w:rsidP="000F1972">
      <w:pPr>
        <w:pStyle w:val="PlainText"/>
        <w:numPr>
          <w:ilvl w:val="0"/>
          <w:numId w:val="6"/>
        </w:numPr>
        <w:tabs>
          <w:tab w:val="clear" w:pos="360"/>
          <w:tab w:val="num" w:pos="720"/>
        </w:tabs>
        <w:ind w:left="720"/>
        <w:rPr>
          <w:rFonts w:ascii="Times New Roman" w:hAnsi="Times New Roman"/>
          <w:sz w:val="22"/>
        </w:rPr>
      </w:pPr>
      <w:r>
        <w:rPr>
          <w:rFonts w:ascii="Times New Roman" w:hAnsi="Times New Roman"/>
          <w:sz w:val="22"/>
        </w:rPr>
        <w:t>In oxy-hemoglobin, the relative movement of the chains that occurs during the allosteric transition to the R state closes this pocket, so BPG can no longer fit.</w:t>
      </w:r>
    </w:p>
    <w:p w:rsidR="00AA7A21" w:rsidRDefault="00A64494" w:rsidP="00AA7A21">
      <w:pPr>
        <w:pStyle w:val="PlainText"/>
        <w:rPr>
          <w:rFonts w:ascii="Times New Roman" w:hAnsi="Times New Roman"/>
          <w:sz w:val="22"/>
        </w:rPr>
      </w:pPr>
      <w:r>
        <w:rPr>
          <w:rFonts w:ascii="Times New Roman" w:hAnsi="Times New Roman"/>
          <w:noProof/>
          <w:sz w:val="22"/>
        </w:rPr>
        <w:pict>
          <v:shape id="_x0000_s1051" type="#_x0000_t75" style="position:absolute;margin-left:300.55pt;margin-top:9.2pt;width:109.85pt;height:128.3pt;z-index:251656192;mso-wrap-distance-right:0">
            <v:imagedata r:id="rId23" o:title=""/>
            <w10:wrap type="square" side="left"/>
          </v:shape>
          <o:OLEObject Type="Embed" ProgID="ISISServer" ShapeID="_x0000_s1051" DrawAspect="Content" ObjectID="_1422133243" r:id="rId24"/>
        </w:pict>
      </w:r>
      <w:r>
        <w:rPr>
          <w:rFonts w:ascii="Times New Roman" w:hAnsi="Times New Roman"/>
          <w:noProof/>
          <w:sz w:val="22"/>
        </w:rPr>
        <w:pict>
          <v:shape id="_x0000_s1046" type="#_x0000_t75" style="position:absolute;margin-left:60.4pt;margin-top:5.85pt;width:156.05pt;height:143pt;z-index:251653120;mso-wrap-distance-right:0" o:allowincell="f">
            <v:imagedata r:id="rId25" o:title=""/>
            <w10:wrap type="square" side="left"/>
          </v:shape>
          <o:OLEObject Type="Embed" ProgID="ISISServer" ShapeID="_x0000_s1046" DrawAspect="Content" ObjectID="_1422133244" r:id="rId26"/>
        </w:pict>
      </w: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AA7A21" w:rsidRDefault="00AA7A21" w:rsidP="00AA7A21">
      <w:pPr>
        <w:pStyle w:val="PlainText"/>
        <w:rPr>
          <w:rFonts w:ascii="Times New Roman" w:hAnsi="Times New Roman"/>
          <w:sz w:val="22"/>
        </w:rPr>
      </w:pPr>
    </w:p>
    <w:p w:rsidR="00EB2D3C" w:rsidRDefault="00681FE9" w:rsidP="00EB2D3C">
      <w:pPr>
        <w:pStyle w:val="PlainText"/>
        <w:rPr>
          <w:rFonts w:ascii="Times New Roman" w:hAnsi="Times New Roman"/>
          <w:sz w:val="22"/>
        </w:rPr>
      </w:pPr>
      <w:r>
        <w:rPr>
          <w:noProof/>
        </w:rPr>
        <w:drawing>
          <wp:anchor distT="0" distB="0" distL="114300" distR="114300" simplePos="0" relativeHeight="251657216" behindDoc="0" locked="0" layoutInCell="1" allowOverlap="1" wp14:anchorId="2952144A" wp14:editId="4CE12669">
            <wp:simplePos x="0" y="0"/>
            <wp:positionH relativeFrom="column">
              <wp:posOffset>4445</wp:posOffset>
            </wp:positionH>
            <wp:positionV relativeFrom="page">
              <wp:posOffset>4191000</wp:posOffset>
            </wp:positionV>
            <wp:extent cx="6416040" cy="3349625"/>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srcRect/>
                    <a:stretch>
                      <a:fillRect/>
                    </a:stretch>
                  </pic:blipFill>
                  <pic:spPr bwMode="auto">
                    <a:xfrm>
                      <a:off x="0" y="0"/>
                      <a:ext cx="6416040" cy="334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76A31" w:rsidRDefault="00EB2D3C" w:rsidP="00681FE9">
      <w:pPr>
        <w:pStyle w:val="PlainText"/>
        <w:rPr>
          <w:rFonts w:ascii="Times New Roman" w:hAnsi="Times New Roman"/>
          <w:sz w:val="22"/>
        </w:rPr>
      </w:pPr>
      <w:r w:rsidRPr="00545563">
        <w:rPr>
          <w:rFonts w:ascii="Times New Roman" w:hAnsi="Times New Roman"/>
          <w:b/>
          <w:sz w:val="22"/>
        </w:rPr>
        <w:t>Effect of BPG on O</w:t>
      </w:r>
      <w:r w:rsidRPr="00545563">
        <w:rPr>
          <w:rFonts w:ascii="Times New Roman" w:hAnsi="Times New Roman"/>
          <w:b/>
          <w:sz w:val="22"/>
          <w:vertAlign w:val="subscript"/>
        </w:rPr>
        <w:t>2</w:t>
      </w:r>
      <w:r w:rsidRPr="00545563">
        <w:rPr>
          <w:rFonts w:ascii="Times New Roman" w:hAnsi="Times New Roman"/>
          <w:b/>
          <w:sz w:val="22"/>
        </w:rPr>
        <w:t xml:space="preserve"> Delivery: </w:t>
      </w:r>
      <w:r w:rsidRPr="00545563">
        <w:rPr>
          <w:rFonts w:ascii="Times New Roman" w:hAnsi="Times New Roman"/>
          <w:sz w:val="22"/>
        </w:rPr>
        <w:t xml:space="preserve">This graph shows the effect of BPG (bisphosphoglycerate) on the oxygen affinity of normal hemoglobin.  The level of BPG in the blood at sea level is ~5mM.  After adaptation to high altitudes in 2-4 days the BPG level rises to about 8 mM.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192"/>
        <w:gridCol w:w="1350"/>
        <w:gridCol w:w="990"/>
        <w:gridCol w:w="1350"/>
        <w:gridCol w:w="1080"/>
        <w:gridCol w:w="1380"/>
        <w:gridCol w:w="1050"/>
      </w:tblGrid>
      <w:tr w:rsidR="00EB2D3C" w:rsidRPr="00880D90" w:rsidTr="00880D90">
        <w:tc>
          <w:tcPr>
            <w:tcW w:w="1148" w:type="dxa"/>
          </w:tcPr>
          <w:p w:rsidR="00EB2D3C" w:rsidRPr="00880D90" w:rsidRDefault="00EB2D3C" w:rsidP="00F833B1">
            <w:pPr>
              <w:pStyle w:val="PlainText"/>
              <w:rPr>
                <w:rFonts w:ascii="Times New Roman" w:hAnsi="Times New Roman"/>
                <w:sz w:val="22"/>
                <w:szCs w:val="22"/>
              </w:rPr>
            </w:pPr>
          </w:p>
        </w:tc>
        <w:tc>
          <w:tcPr>
            <w:tcW w:w="1192" w:type="dxa"/>
          </w:tcPr>
          <w:p w:rsidR="00EB2D3C" w:rsidRPr="00880D90" w:rsidRDefault="00EB2D3C" w:rsidP="00F833B1">
            <w:pPr>
              <w:pStyle w:val="PlainText"/>
              <w:rPr>
                <w:rFonts w:ascii="Times New Roman" w:hAnsi="Times New Roman"/>
                <w:b/>
                <w:snapToGrid w:val="0"/>
                <w:color w:val="000000"/>
                <w:sz w:val="22"/>
                <w:szCs w:val="22"/>
              </w:rPr>
            </w:pPr>
            <w:r w:rsidRPr="00880D90">
              <w:rPr>
                <w:rFonts w:ascii="Times New Roman" w:hAnsi="Times New Roman"/>
                <w:b/>
                <w:snapToGrid w:val="0"/>
                <w:color w:val="000000"/>
                <w:sz w:val="22"/>
                <w:szCs w:val="22"/>
              </w:rPr>
              <w:t>pO</w:t>
            </w:r>
            <w:r w:rsidRPr="00880D90">
              <w:rPr>
                <w:rFonts w:ascii="Times New Roman" w:hAnsi="Times New Roman"/>
                <w:b/>
                <w:snapToGrid w:val="0"/>
                <w:color w:val="000000"/>
                <w:sz w:val="22"/>
                <w:szCs w:val="22"/>
                <w:vertAlign w:val="subscript"/>
              </w:rPr>
              <w:t>2</w:t>
            </w:r>
            <w:r w:rsidRPr="00880D90">
              <w:rPr>
                <w:rFonts w:ascii="Times New Roman" w:hAnsi="Times New Roman"/>
                <w:b/>
                <w:snapToGrid w:val="0"/>
                <w:color w:val="000000"/>
                <w:sz w:val="22"/>
                <w:szCs w:val="22"/>
              </w:rPr>
              <w:t xml:space="preserve"> (kPa)</w:t>
            </w:r>
          </w:p>
        </w:tc>
        <w:tc>
          <w:tcPr>
            <w:tcW w:w="1350" w:type="dxa"/>
          </w:tcPr>
          <w:p w:rsidR="00EB2D3C" w:rsidRPr="00880D90" w:rsidRDefault="00EB2D3C" w:rsidP="00880D90">
            <w:pPr>
              <w:jc w:val="center"/>
              <w:rPr>
                <w:b/>
                <w:snapToGrid w:val="0"/>
                <w:color w:val="000000"/>
                <w:sz w:val="22"/>
                <w:szCs w:val="22"/>
              </w:rPr>
            </w:pPr>
            <w:r w:rsidRPr="00880D90">
              <w:rPr>
                <w:b/>
                <w:snapToGrid w:val="0"/>
                <w:color w:val="000000"/>
                <w:sz w:val="22"/>
                <w:szCs w:val="22"/>
              </w:rPr>
              <w:t>5mM  BPG</w:t>
            </w:r>
          </w:p>
        </w:tc>
        <w:tc>
          <w:tcPr>
            <w:tcW w:w="990" w:type="dxa"/>
            <w:tcBorders>
              <w:bottom w:val="nil"/>
            </w:tcBorders>
          </w:tcPr>
          <w:p w:rsidR="00EB2D3C" w:rsidRPr="00880D90" w:rsidRDefault="00EB2D3C" w:rsidP="00F833B1">
            <w:pPr>
              <w:pStyle w:val="PlainText"/>
              <w:rPr>
                <w:rFonts w:ascii="Times New Roman" w:hAnsi="Times New Roman"/>
                <w:b/>
                <w:sz w:val="22"/>
                <w:szCs w:val="22"/>
              </w:rPr>
            </w:pPr>
          </w:p>
        </w:tc>
        <w:tc>
          <w:tcPr>
            <w:tcW w:w="1350" w:type="dxa"/>
          </w:tcPr>
          <w:p w:rsidR="00EB2D3C" w:rsidRPr="00880D90" w:rsidRDefault="00EB2D3C" w:rsidP="00880D90">
            <w:pPr>
              <w:jc w:val="center"/>
              <w:rPr>
                <w:b/>
                <w:snapToGrid w:val="0"/>
                <w:color w:val="000000"/>
                <w:sz w:val="22"/>
                <w:szCs w:val="22"/>
              </w:rPr>
            </w:pPr>
            <w:r w:rsidRPr="00880D90">
              <w:rPr>
                <w:b/>
                <w:snapToGrid w:val="0"/>
                <w:color w:val="000000"/>
                <w:sz w:val="22"/>
                <w:szCs w:val="22"/>
              </w:rPr>
              <w:t>5mM  BPG</w:t>
            </w:r>
          </w:p>
        </w:tc>
        <w:tc>
          <w:tcPr>
            <w:tcW w:w="1080" w:type="dxa"/>
            <w:tcBorders>
              <w:bottom w:val="nil"/>
            </w:tcBorders>
          </w:tcPr>
          <w:p w:rsidR="00EB2D3C" w:rsidRPr="00880D90" w:rsidRDefault="00EB2D3C" w:rsidP="00F833B1">
            <w:pPr>
              <w:pStyle w:val="PlainText"/>
              <w:rPr>
                <w:rFonts w:ascii="Times New Roman" w:hAnsi="Times New Roman"/>
                <w:b/>
                <w:sz w:val="22"/>
                <w:szCs w:val="22"/>
              </w:rPr>
            </w:pPr>
          </w:p>
        </w:tc>
        <w:tc>
          <w:tcPr>
            <w:tcW w:w="1380" w:type="dxa"/>
          </w:tcPr>
          <w:p w:rsidR="00EB2D3C" w:rsidRPr="00880D90" w:rsidRDefault="00EB2D3C" w:rsidP="00880D90">
            <w:pPr>
              <w:jc w:val="center"/>
              <w:rPr>
                <w:b/>
                <w:snapToGrid w:val="0"/>
                <w:color w:val="000000"/>
                <w:sz w:val="22"/>
                <w:szCs w:val="22"/>
              </w:rPr>
            </w:pPr>
            <w:r w:rsidRPr="00880D90">
              <w:rPr>
                <w:b/>
                <w:snapToGrid w:val="0"/>
                <w:color w:val="000000"/>
                <w:sz w:val="22"/>
                <w:szCs w:val="22"/>
              </w:rPr>
              <w:t>8 mM  BPG</w:t>
            </w:r>
          </w:p>
        </w:tc>
        <w:tc>
          <w:tcPr>
            <w:tcW w:w="1050" w:type="dxa"/>
            <w:tcBorders>
              <w:bottom w:val="nil"/>
            </w:tcBorders>
          </w:tcPr>
          <w:p w:rsidR="00EB2D3C" w:rsidRPr="00880D90" w:rsidRDefault="00EB2D3C" w:rsidP="00880D90">
            <w:pPr>
              <w:jc w:val="center"/>
              <w:rPr>
                <w:b/>
                <w:snapToGrid w:val="0"/>
                <w:color w:val="000000"/>
                <w:sz w:val="22"/>
                <w:szCs w:val="22"/>
              </w:rPr>
            </w:pPr>
          </w:p>
        </w:tc>
      </w:tr>
      <w:tr w:rsidR="00EB2D3C" w:rsidRPr="00880D90" w:rsidTr="00880D90">
        <w:tc>
          <w:tcPr>
            <w:tcW w:w="1148" w:type="dxa"/>
          </w:tcPr>
          <w:p w:rsidR="00EB2D3C" w:rsidRPr="00880D90" w:rsidRDefault="00EB2D3C" w:rsidP="00880D90">
            <w:pPr>
              <w:spacing w:before="80" w:after="80"/>
              <w:rPr>
                <w:b/>
                <w:snapToGrid w:val="0"/>
                <w:color w:val="000000"/>
                <w:sz w:val="22"/>
                <w:szCs w:val="22"/>
              </w:rPr>
            </w:pPr>
            <w:r w:rsidRPr="00880D90">
              <w:rPr>
                <w:b/>
                <w:snapToGrid w:val="0"/>
                <w:color w:val="000000"/>
                <w:sz w:val="22"/>
                <w:szCs w:val="22"/>
              </w:rPr>
              <w:t>Sea level</w:t>
            </w:r>
          </w:p>
        </w:tc>
        <w:tc>
          <w:tcPr>
            <w:tcW w:w="1192" w:type="dxa"/>
          </w:tcPr>
          <w:p w:rsidR="00EB2D3C" w:rsidRPr="00880D90" w:rsidRDefault="00EB2D3C" w:rsidP="00880D90">
            <w:pPr>
              <w:spacing w:before="80" w:after="80"/>
              <w:jc w:val="center"/>
              <w:rPr>
                <w:snapToGrid w:val="0"/>
                <w:color w:val="000000"/>
                <w:sz w:val="22"/>
                <w:szCs w:val="22"/>
              </w:rPr>
            </w:pPr>
            <w:r w:rsidRPr="00880D90">
              <w:rPr>
                <w:snapToGrid w:val="0"/>
                <w:color w:val="000000"/>
                <w:sz w:val="22"/>
                <w:szCs w:val="22"/>
              </w:rPr>
              <w:t>12</w:t>
            </w:r>
          </w:p>
        </w:tc>
        <w:tc>
          <w:tcPr>
            <w:tcW w:w="135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=0.96</w:t>
            </w:r>
          </w:p>
        </w:tc>
        <w:tc>
          <w:tcPr>
            <w:tcW w:w="990" w:type="dxa"/>
            <w:tcBorders>
              <w:top w:val="nil"/>
              <w:bottom w:val="nil"/>
            </w:tcBorders>
          </w:tcPr>
          <w:p w:rsidR="00EB2D3C" w:rsidRPr="00880D90" w:rsidRDefault="00EB2D3C" w:rsidP="00880D90">
            <w:pPr>
              <w:pStyle w:val="PlainText"/>
              <w:spacing w:before="80" w:after="80"/>
              <w:rPr>
                <w:rFonts w:ascii="Times New Roman" w:hAnsi="Times New Roman"/>
                <w:sz w:val="22"/>
                <w:szCs w:val="22"/>
              </w:rPr>
            </w:pPr>
          </w:p>
        </w:tc>
        <w:tc>
          <w:tcPr>
            <w:tcW w:w="1350" w:type="dxa"/>
          </w:tcPr>
          <w:p w:rsidR="00EB2D3C" w:rsidRPr="00880D90" w:rsidRDefault="00EB2D3C" w:rsidP="00880D90">
            <w:pPr>
              <w:spacing w:before="80" w:after="80"/>
              <w:jc w:val="center"/>
              <w:rPr>
                <w:snapToGrid w:val="0"/>
                <w:color w:val="000000"/>
                <w:sz w:val="22"/>
                <w:szCs w:val="22"/>
              </w:rPr>
            </w:pPr>
          </w:p>
        </w:tc>
        <w:tc>
          <w:tcPr>
            <w:tcW w:w="1080" w:type="dxa"/>
            <w:tcBorders>
              <w:top w:val="nil"/>
              <w:bottom w:val="nil"/>
            </w:tcBorders>
          </w:tcPr>
          <w:p w:rsidR="00EB2D3C" w:rsidRPr="00880D90" w:rsidRDefault="00EB2D3C" w:rsidP="00880D90">
            <w:pPr>
              <w:pStyle w:val="PlainText"/>
              <w:spacing w:before="80" w:after="80"/>
              <w:rPr>
                <w:rFonts w:ascii="Times New Roman" w:hAnsi="Times New Roman"/>
                <w:sz w:val="22"/>
                <w:szCs w:val="22"/>
              </w:rPr>
            </w:pPr>
          </w:p>
        </w:tc>
        <w:tc>
          <w:tcPr>
            <w:tcW w:w="1380" w:type="dxa"/>
          </w:tcPr>
          <w:p w:rsidR="00EB2D3C" w:rsidRPr="00880D90" w:rsidRDefault="00EB2D3C" w:rsidP="00880D90">
            <w:pPr>
              <w:spacing w:before="80" w:after="80"/>
              <w:jc w:val="center"/>
              <w:rPr>
                <w:snapToGrid w:val="0"/>
                <w:color w:val="000000"/>
                <w:sz w:val="22"/>
                <w:szCs w:val="22"/>
              </w:rPr>
            </w:pPr>
          </w:p>
        </w:tc>
        <w:tc>
          <w:tcPr>
            <w:tcW w:w="1050" w:type="dxa"/>
            <w:tcBorders>
              <w:top w:val="nil"/>
              <w:bottom w:val="nil"/>
            </w:tcBorders>
          </w:tcPr>
          <w:p w:rsidR="00EB2D3C" w:rsidRPr="00880D90" w:rsidRDefault="00EB2D3C" w:rsidP="00880D90">
            <w:pPr>
              <w:spacing w:before="80" w:after="80"/>
              <w:jc w:val="center"/>
              <w:rPr>
                <w:snapToGrid w:val="0"/>
                <w:color w:val="000000"/>
                <w:sz w:val="22"/>
                <w:szCs w:val="22"/>
              </w:rPr>
            </w:pPr>
          </w:p>
        </w:tc>
      </w:tr>
      <w:tr w:rsidR="00EB2D3C" w:rsidRPr="00880D90" w:rsidTr="00880D90">
        <w:tc>
          <w:tcPr>
            <w:tcW w:w="1148" w:type="dxa"/>
          </w:tcPr>
          <w:p w:rsidR="00EB2D3C" w:rsidRPr="00880D90" w:rsidRDefault="00AF51DF" w:rsidP="00880D90">
            <w:pPr>
              <w:spacing w:before="80" w:after="80"/>
              <w:rPr>
                <w:b/>
                <w:snapToGrid w:val="0"/>
                <w:color w:val="000000"/>
                <w:sz w:val="22"/>
                <w:szCs w:val="22"/>
              </w:rPr>
            </w:pPr>
            <w:r w:rsidRPr="00880D90">
              <w:rPr>
                <w:b/>
                <w:snapToGrid w:val="0"/>
                <w:color w:val="000000"/>
                <w:sz w:val="22"/>
                <w:szCs w:val="22"/>
              </w:rPr>
              <w:t>Rockies</w:t>
            </w:r>
          </w:p>
        </w:tc>
        <w:tc>
          <w:tcPr>
            <w:tcW w:w="1192" w:type="dxa"/>
          </w:tcPr>
          <w:p w:rsidR="00EB2D3C" w:rsidRPr="00880D90" w:rsidRDefault="00EB2D3C" w:rsidP="00880D90">
            <w:pPr>
              <w:spacing w:before="80" w:after="80"/>
              <w:jc w:val="center"/>
              <w:rPr>
                <w:snapToGrid w:val="0"/>
                <w:color w:val="000000"/>
                <w:sz w:val="22"/>
                <w:szCs w:val="22"/>
              </w:rPr>
            </w:pPr>
            <w:r w:rsidRPr="00880D90">
              <w:rPr>
                <w:snapToGrid w:val="0"/>
                <w:color w:val="000000"/>
                <w:sz w:val="22"/>
                <w:szCs w:val="22"/>
              </w:rPr>
              <w:t xml:space="preserve"> 8</w:t>
            </w:r>
          </w:p>
        </w:tc>
        <w:tc>
          <w:tcPr>
            <w:tcW w:w="1350" w:type="dxa"/>
          </w:tcPr>
          <w:p w:rsidR="00EB2D3C" w:rsidRPr="00880D90" w:rsidRDefault="00EB2D3C" w:rsidP="00880D90">
            <w:pPr>
              <w:spacing w:before="80" w:after="80"/>
              <w:jc w:val="center"/>
              <w:rPr>
                <w:snapToGrid w:val="0"/>
                <w:color w:val="000000"/>
                <w:sz w:val="22"/>
                <w:szCs w:val="22"/>
              </w:rPr>
            </w:pPr>
          </w:p>
        </w:tc>
        <w:tc>
          <w:tcPr>
            <w:tcW w:w="990" w:type="dxa"/>
            <w:tcBorders>
              <w:top w:val="nil"/>
              <w:bottom w:val="nil"/>
            </w:tcBorders>
          </w:tcPr>
          <w:p w:rsidR="00EB2D3C" w:rsidRPr="00880D90" w:rsidRDefault="00EB2D3C" w:rsidP="00880D90">
            <w:pPr>
              <w:pStyle w:val="PlainText"/>
              <w:spacing w:before="80" w:after="80"/>
              <w:rPr>
                <w:rFonts w:ascii="Times New Roman" w:hAnsi="Times New Roman"/>
                <w:sz w:val="22"/>
                <w:szCs w:val="22"/>
              </w:rPr>
            </w:pPr>
          </w:p>
        </w:tc>
        <w:tc>
          <w:tcPr>
            <w:tcW w:w="135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=0.90</w:t>
            </w:r>
          </w:p>
        </w:tc>
        <w:tc>
          <w:tcPr>
            <w:tcW w:w="1080" w:type="dxa"/>
            <w:tcBorders>
              <w:top w:val="nil"/>
              <w:bottom w:val="nil"/>
            </w:tcBorders>
          </w:tcPr>
          <w:p w:rsidR="00EB2D3C" w:rsidRPr="00880D90" w:rsidRDefault="00EB2D3C" w:rsidP="00880D90">
            <w:pPr>
              <w:pStyle w:val="PlainText"/>
              <w:spacing w:before="80" w:after="80"/>
              <w:rPr>
                <w:rFonts w:ascii="Times New Roman" w:hAnsi="Times New Roman"/>
                <w:sz w:val="22"/>
                <w:szCs w:val="22"/>
              </w:rPr>
            </w:pPr>
          </w:p>
        </w:tc>
        <w:tc>
          <w:tcPr>
            <w:tcW w:w="138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=0.87</w:t>
            </w:r>
          </w:p>
        </w:tc>
        <w:tc>
          <w:tcPr>
            <w:tcW w:w="1050" w:type="dxa"/>
            <w:tcBorders>
              <w:top w:val="nil"/>
              <w:bottom w:val="nil"/>
            </w:tcBorders>
          </w:tcPr>
          <w:p w:rsidR="00EB2D3C" w:rsidRPr="00880D90" w:rsidRDefault="00EB2D3C" w:rsidP="00880D90">
            <w:pPr>
              <w:spacing w:before="80" w:after="80"/>
              <w:jc w:val="center"/>
              <w:rPr>
                <w:snapToGrid w:val="0"/>
                <w:color w:val="000000"/>
                <w:sz w:val="22"/>
                <w:szCs w:val="22"/>
              </w:rPr>
            </w:pPr>
          </w:p>
        </w:tc>
      </w:tr>
      <w:tr w:rsidR="00EB2D3C" w:rsidRPr="00880D90" w:rsidTr="00880D90">
        <w:tc>
          <w:tcPr>
            <w:tcW w:w="1148" w:type="dxa"/>
          </w:tcPr>
          <w:p w:rsidR="00EB2D3C" w:rsidRPr="00880D90" w:rsidRDefault="00EB2D3C" w:rsidP="00880D90">
            <w:pPr>
              <w:spacing w:before="80" w:after="80"/>
              <w:rPr>
                <w:b/>
                <w:snapToGrid w:val="0"/>
                <w:color w:val="000000"/>
                <w:sz w:val="22"/>
                <w:szCs w:val="22"/>
              </w:rPr>
            </w:pPr>
            <w:r w:rsidRPr="00880D90">
              <w:rPr>
                <w:b/>
                <w:snapToGrid w:val="0"/>
                <w:color w:val="000000"/>
                <w:sz w:val="22"/>
                <w:szCs w:val="22"/>
              </w:rPr>
              <w:t>Muscle</w:t>
            </w:r>
          </w:p>
        </w:tc>
        <w:tc>
          <w:tcPr>
            <w:tcW w:w="1192" w:type="dxa"/>
          </w:tcPr>
          <w:p w:rsidR="00EB2D3C" w:rsidRPr="00880D90" w:rsidRDefault="00EB2D3C" w:rsidP="00880D90">
            <w:pPr>
              <w:spacing w:before="80" w:after="80"/>
              <w:jc w:val="center"/>
              <w:rPr>
                <w:snapToGrid w:val="0"/>
                <w:color w:val="000000"/>
                <w:sz w:val="22"/>
                <w:szCs w:val="22"/>
              </w:rPr>
            </w:pPr>
            <w:r w:rsidRPr="00880D90">
              <w:rPr>
                <w:snapToGrid w:val="0"/>
                <w:color w:val="000000"/>
                <w:sz w:val="22"/>
                <w:szCs w:val="22"/>
              </w:rPr>
              <w:t xml:space="preserve"> 4</w:t>
            </w:r>
          </w:p>
        </w:tc>
        <w:tc>
          <w:tcPr>
            <w:tcW w:w="135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=0.56</w:t>
            </w:r>
          </w:p>
        </w:tc>
        <w:tc>
          <w:tcPr>
            <w:tcW w:w="990" w:type="dxa"/>
            <w:tcBorders>
              <w:top w:val="nil"/>
            </w:tcBorders>
          </w:tcPr>
          <w:p w:rsidR="00EB2D3C" w:rsidRPr="00880D90" w:rsidRDefault="00EB2D3C" w:rsidP="00880D90">
            <w:pPr>
              <w:pStyle w:val="PlainText"/>
              <w:spacing w:before="80" w:after="80"/>
              <w:rPr>
                <w:rFonts w:ascii="Times New Roman" w:hAnsi="Times New Roman"/>
                <w:sz w:val="22"/>
                <w:szCs w:val="22"/>
              </w:rPr>
            </w:pPr>
          </w:p>
        </w:tc>
        <w:tc>
          <w:tcPr>
            <w:tcW w:w="135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=0.56</w:t>
            </w:r>
          </w:p>
        </w:tc>
        <w:tc>
          <w:tcPr>
            <w:tcW w:w="1080" w:type="dxa"/>
            <w:tcBorders>
              <w:top w:val="nil"/>
            </w:tcBorders>
          </w:tcPr>
          <w:p w:rsidR="00EB2D3C" w:rsidRPr="00880D90" w:rsidRDefault="00EB2D3C" w:rsidP="00880D90">
            <w:pPr>
              <w:pStyle w:val="PlainText"/>
              <w:spacing w:before="80" w:after="80"/>
              <w:rPr>
                <w:rFonts w:ascii="Times New Roman" w:hAnsi="Times New Roman"/>
                <w:sz w:val="22"/>
                <w:szCs w:val="22"/>
              </w:rPr>
            </w:pPr>
          </w:p>
        </w:tc>
        <w:tc>
          <w:tcPr>
            <w:tcW w:w="1380" w:type="dxa"/>
          </w:tcPr>
          <w:p w:rsidR="00EB2D3C" w:rsidRPr="00880D90" w:rsidRDefault="00AF51DF" w:rsidP="00880D90">
            <w:pPr>
              <w:spacing w:before="80" w:after="80"/>
              <w:jc w:val="center"/>
              <w:rPr>
                <w:snapToGrid w:val="0"/>
                <w:color w:val="000000"/>
                <w:sz w:val="22"/>
                <w:szCs w:val="22"/>
              </w:rPr>
            </w:pPr>
            <w:r w:rsidRPr="00880D90">
              <w:rPr>
                <w:snapToGrid w:val="0"/>
                <w:color w:val="000000"/>
                <w:sz w:val="22"/>
                <w:szCs w:val="22"/>
              </w:rPr>
              <w:t>Y</w:t>
            </w:r>
            <w:r w:rsidR="00EB2D3C" w:rsidRPr="00880D90">
              <w:rPr>
                <w:snapToGrid w:val="0"/>
                <w:color w:val="000000"/>
                <w:sz w:val="22"/>
                <w:szCs w:val="22"/>
              </w:rPr>
              <w:t>=0.47</w:t>
            </w:r>
          </w:p>
        </w:tc>
        <w:tc>
          <w:tcPr>
            <w:tcW w:w="1050" w:type="dxa"/>
            <w:tcBorders>
              <w:top w:val="nil"/>
            </w:tcBorders>
          </w:tcPr>
          <w:p w:rsidR="00EB2D3C" w:rsidRPr="00880D90" w:rsidRDefault="00EB2D3C" w:rsidP="00880D90">
            <w:pPr>
              <w:spacing w:before="80" w:after="80"/>
              <w:jc w:val="center"/>
              <w:rPr>
                <w:snapToGrid w:val="0"/>
                <w:color w:val="000000"/>
                <w:sz w:val="22"/>
                <w:szCs w:val="22"/>
              </w:rPr>
            </w:pPr>
          </w:p>
        </w:tc>
      </w:tr>
    </w:tbl>
    <w:p w:rsidR="00EB2D3C" w:rsidRDefault="00EB2D3C" w:rsidP="00681FE9">
      <w:pPr>
        <w:spacing w:after="120"/>
      </w:pPr>
    </w:p>
    <w:sectPr w:rsidR="00EB2D3C" w:rsidSect="00876A31">
      <w:type w:val="continuous"/>
      <w:pgSz w:w="12240" w:h="15840"/>
      <w:pgMar w:top="1008" w:right="1152" w:bottom="1008" w:left="115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94" w:rsidRDefault="00A64494">
      <w:r>
        <w:separator/>
      </w:r>
    </w:p>
  </w:endnote>
  <w:endnote w:type="continuationSeparator" w:id="0">
    <w:p w:rsidR="00A64494" w:rsidRDefault="00A6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F1972" w:rsidRDefault="000F1972" w:rsidP="000F197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60986">
      <w:rPr>
        <w:rStyle w:val="PageNumber"/>
        <w:noProof/>
      </w:rPr>
      <w:t>4</w:t>
    </w:r>
    <w:r>
      <w:rPr>
        <w:rStyle w:val="PageNumber"/>
      </w:rPr>
      <w:fldChar w:fldCharType="end"/>
    </w:r>
  </w:p>
  <w:p w:rsidR="000F1972" w:rsidRDefault="000F1972" w:rsidP="000F1972">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94" w:rsidRDefault="00A64494">
      <w:r>
        <w:separator/>
      </w:r>
    </w:p>
  </w:footnote>
  <w:footnote w:type="continuationSeparator" w:id="0">
    <w:p w:rsidR="00A64494" w:rsidRDefault="00A6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65" w:rsidRDefault="00F62C65">
    <w:pPr>
      <w:pStyle w:val="Header"/>
      <w:rPr>
        <w:i/>
      </w:rPr>
    </w:pPr>
    <w:r>
      <w:rPr>
        <w:i/>
      </w:rPr>
      <w:t xml:space="preserve">Biochemistry I                       </w:t>
    </w:r>
    <w:r w:rsidR="00E23215">
      <w:rPr>
        <w:i/>
      </w:rPr>
      <w:t xml:space="preserve"> </w:t>
    </w:r>
    <w:r>
      <w:rPr>
        <w:i/>
      </w:rPr>
      <w:t xml:space="preserve">       </w:t>
    </w:r>
    <w:r w:rsidR="000F1972">
      <w:rPr>
        <w:i/>
      </w:rPr>
      <w:t xml:space="preserve"> </w:t>
    </w:r>
    <w:r>
      <w:rPr>
        <w:i/>
      </w:rPr>
      <w:t xml:space="preserve">                                   Lecture 13                                      </w:t>
    </w:r>
    <w:r w:rsidR="00EB089E">
      <w:rPr>
        <w:i/>
      </w:rPr>
      <w:t xml:space="preserve"> </w:t>
    </w:r>
    <w:r w:rsidR="0039220D">
      <w:rPr>
        <w:i/>
      </w:rPr>
      <w:t xml:space="preserve">                     February 13</w:t>
    </w:r>
    <w:r w:rsidR="00A85C41">
      <w:rPr>
        <w:i/>
      </w:rPr>
      <w:t>, 20</w:t>
    </w:r>
    <w:r w:rsidR="0039220D">
      <w:rPr>
        <w:i/>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499"/>
    <w:multiLevelType w:val="hybridMultilevel"/>
    <w:tmpl w:val="B73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D6CD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3DFD4184"/>
    <w:multiLevelType w:val="hybridMultilevel"/>
    <w:tmpl w:val="39E8CA7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3E0510E3"/>
    <w:multiLevelType w:val="hybridMultilevel"/>
    <w:tmpl w:val="3198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9369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60FF71A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65884E7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6A81162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71D71EE2"/>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7"/>
  </w:num>
  <w:num w:numId="4">
    <w:abstractNumId w:val="5"/>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4F25"/>
    <w:rsid w:val="00011162"/>
    <w:rsid w:val="00012823"/>
    <w:rsid w:val="00013A0A"/>
    <w:rsid w:val="0002080F"/>
    <w:rsid w:val="000444D9"/>
    <w:rsid w:val="00061228"/>
    <w:rsid w:val="000A22F3"/>
    <w:rsid w:val="000F1972"/>
    <w:rsid w:val="0013010E"/>
    <w:rsid w:val="001E6834"/>
    <w:rsid w:val="001E73D3"/>
    <w:rsid w:val="002017C9"/>
    <w:rsid w:val="00280147"/>
    <w:rsid w:val="002A5AD0"/>
    <w:rsid w:val="00350996"/>
    <w:rsid w:val="00362C73"/>
    <w:rsid w:val="0039220D"/>
    <w:rsid w:val="00460986"/>
    <w:rsid w:val="004729B1"/>
    <w:rsid w:val="004D4259"/>
    <w:rsid w:val="004E0FB2"/>
    <w:rsid w:val="00532640"/>
    <w:rsid w:val="005D5ADD"/>
    <w:rsid w:val="00681FE9"/>
    <w:rsid w:val="006832BD"/>
    <w:rsid w:val="0068752C"/>
    <w:rsid w:val="006B7A9E"/>
    <w:rsid w:val="007049E6"/>
    <w:rsid w:val="0078614F"/>
    <w:rsid w:val="00822C39"/>
    <w:rsid w:val="00855DE8"/>
    <w:rsid w:val="00865DDD"/>
    <w:rsid w:val="00876A31"/>
    <w:rsid w:val="00880D90"/>
    <w:rsid w:val="0089027B"/>
    <w:rsid w:val="00894063"/>
    <w:rsid w:val="0099399D"/>
    <w:rsid w:val="009C1BAA"/>
    <w:rsid w:val="009F2EE0"/>
    <w:rsid w:val="00A309A3"/>
    <w:rsid w:val="00A46197"/>
    <w:rsid w:val="00A54681"/>
    <w:rsid w:val="00A64494"/>
    <w:rsid w:val="00A85C41"/>
    <w:rsid w:val="00AA7A21"/>
    <w:rsid w:val="00AF51DF"/>
    <w:rsid w:val="00B712E4"/>
    <w:rsid w:val="00BA4346"/>
    <w:rsid w:val="00C232C2"/>
    <w:rsid w:val="00CB1E4B"/>
    <w:rsid w:val="00D25D36"/>
    <w:rsid w:val="00D82301"/>
    <w:rsid w:val="00E1410E"/>
    <w:rsid w:val="00E23215"/>
    <w:rsid w:val="00E57837"/>
    <w:rsid w:val="00EB089E"/>
    <w:rsid w:val="00EB2D3C"/>
    <w:rsid w:val="00ED14F4"/>
    <w:rsid w:val="00F3402D"/>
    <w:rsid w:val="00F62C65"/>
    <w:rsid w:val="00F833B1"/>
    <w:rsid w:val="00FA7A0E"/>
    <w:rsid w:val="00FB3F73"/>
    <w:rsid w:val="00FC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B2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1972"/>
  </w:style>
  <w:style w:type="paragraph" w:styleId="BalloonText">
    <w:name w:val="Balloon Text"/>
    <w:basedOn w:val="Normal"/>
    <w:link w:val="BalloonTextChar"/>
    <w:rsid w:val="004729B1"/>
    <w:rPr>
      <w:rFonts w:ascii="Tahoma" w:hAnsi="Tahoma" w:cs="Tahoma"/>
      <w:sz w:val="16"/>
      <w:szCs w:val="16"/>
    </w:rPr>
  </w:style>
  <w:style w:type="character" w:customStyle="1" w:styleId="BalloonTextChar">
    <w:name w:val="Balloon Text Char"/>
    <w:basedOn w:val="DefaultParagraphFont"/>
    <w:link w:val="BalloonText"/>
    <w:rsid w:val="0047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US"/>
              <a:t>Hb O2 binding</a:t>
            </a:r>
          </a:p>
        </c:rich>
      </c:tx>
      <c:layout>
        <c:manualLayout>
          <c:xMode val="edge"/>
          <c:yMode val="edge"/>
          <c:x val="0.42105268284763392"/>
          <c:y val="2.0710140514203688E-2"/>
        </c:manualLayout>
      </c:layout>
      <c:overlay val="0"/>
      <c:spPr>
        <a:noFill/>
        <a:ln w="25351">
          <a:noFill/>
        </a:ln>
      </c:spPr>
    </c:title>
    <c:autoTitleDeleted val="0"/>
    <c:plotArea>
      <c:layout>
        <c:manualLayout>
          <c:layoutTarget val="inner"/>
          <c:xMode val="edge"/>
          <c:yMode val="edge"/>
          <c:x val="0.13179149440093074"/>
          <c:y val="0.11538461538461539"/>
          <c:w val="0.83589990235389444"/>
          <c:h val="0.71597633136094652"/>
        </c:manualLayout>
      </c:layout>
      <c:scatterChart>
        <c:scatterStyle val="smoothMarker"/>
        <c:varyColors val="0"/>
        <c:ser>
          <c:idx val="0"/>
          <c:order val="0"/>
          <c:tx>
            <c:v>5 mM BPG</c:v>
          </c:tx>
          <c:spPr>
            <a:ln w="25351">
              <a:solidFill>
                <a:srgbClr val="000000"/>
              </a:solidFill>
              <a:prstDash val="solid"/>
            </a:ln>
          </c:spPr>
          <c:marker>
            <c:symbol val="diamond"/>
            <c:size val="6"/>
            <c:spPr>
              <a:solidFill>
                <a:srgbClr val="000000"/>
              </a:solidFill>
              <a:ln>
                <a:solidFill>
                  <a:srgbClr val="000000"/>
                </a:solidFill>
                <a:prstDash val="solid"/>
              </a:ln>
            </c:spPr>
          </c:marker>
          <c:xVal>
            <c:numRef>
              <c:f>Sheet1!$D$1:$D$13</c:f>
              <c:numCache>
                <c:formatCode>General</c:formatCode>
                <c:ptCount val="13"/>
                <c:pt idx="0">
                  <c:v>0</c:v>
                </c:pt>
                <c:pt idx="1">
                  <c:v>0.13333333333333339</c:v>
                </c:pt>
                <c:pt idx="2">
                  <c:v>0.66666666666666663</c:v>
                </c:pt>
                <c:pt idx="3">
                  <c:v>1.3333333333333333</c:v>
                </c:pt>
                <c:pt idx="4">
                  <c:v>2</c:v>
                </c:pt>
                <c:pt idx="5">
                  <c:v>2.6666666666666665</c:v>
                </c:pt>
                <c:pt idx="6">
                  <c:v>4</c:v>
                </c:pt>
                <c:pt idx="7">
                  <c:v>5.3333333333333348</c:v>
                </c:pt>
                <c:pt idx="8">
                  <c:v>6.666666666666667</c:v>
                </c:pt>
                <c:pt idx="9">
                  <c:v>8</c:v>
                </c:pt>
                <c:pt idx="10">
                  <c:v>9.3333333333333357</c:v>
                </c:pt>
                <c:pt idx="11">
                  <c:v>10.666666666666671</c:v>
                </c:pt>
                <c:pt idx="12">
                  <c:v>12</c:v>
                </c:pt>
              </c:numCache>
            </c:numRef>
          </c:xVal>
          <c:yVal>
            <c:numRef>
              <c:f>Sheet1!$E$1:$E$13</c:f>
              <c:numCache>
                <c:formatCode>General</c:formatCode>
                <c:ptCount val="13"/>
                <c:pt idx="0">
                  <c:v>0</c:v>
                </c:pt>
                <c:pt idx="1">
                  <c:v>5.1526503281650315E-3</c:v>
                </c:pt>
                <c:pt idx="2">
                  <c:v>2.9899556178462981E-2</c:v>
                </c:pt>
                <c:pt idx="3">
                  <c:v>7.9804560260586369E-2</c:v>
                </c:pt>
                <c:pt idx="4">
                  <c:v>0.16675088428499241</c:v>
                </c:pt>
                <c:pt idx="5">
                  <c:v>0.29166666666666685</c:v>
                </c:pt>
                <c:pt idx="6">
                  <c:v>0.56309148264984266</c:v>
                </c:pt>
                <c:pt idx="7">
                  <c:v>0.74803149606299235</c:v>
                </c:pt>
                <c:pt idx="8">
                  <c:v>0.84777376654632974</c:v>
                </c:pt>
                <c:pt idx="9">
                  <c:v>0.90091463414634154</c:v>
                </c:pt>
                <c:pt idx="10">
                  <c:v>0.93089137495489016</c:v>
                </c:pt>
                <c:pt idx="11">
                  <c:v>0.94898672257162831</c:v>
                </c:pt>
                <c:pt idx="12">
                  <c:v>0.96060656696465851</c:v>
                </c:pt>
              </c:numCache>
            </c:numRef>
          </c:yVal>
          <c:smooth val="1"/>
        </c:ser>
        <c:ser>
          <c:idx val="1"/>
          <c:order val="1"/>
          <c:tx>
            <c:v>8 mM BPG</c:v>
          </c:tx>
          <c:spPr>
            <a:ln w="28520">
              <a:noFill/>
            </a:ln>
          </c:spPr>
          <c:marker>
            <c:symbol val="none"/>
          </c:marker>
          <c:xVal>
            <c:numRef>
              <c:f>Sheet1!$D$1:$D$13</c:f>
              <c:numCache>
                <c:formatCode>General</c:formatCode>
                <c:ptCount val="13"/>
                <c:pt idx="0">
                  <c:v>0</c:v>
                </c:pt>
                <c:pt idx="1">
                  <c:v>0.13333333333333339</c:v>
                </c:pt>
                <c:pt idx="2">
                  <c:v>0.66666666666666663</c:v>
                </c:pt>
                <c:pt idx="3">
                  <c:v>1.3333333333333333</c:v>
                </c:pt>
                <c:pt idx="4">
                  <c:v>2</c:v>
                </c:pt>
                <c:pt idx="5">
                  <c:v>2.6666666666666665</c:v>
                </c:pt>
                <c:pt idx="6">
                  <c:v>4</c:v>
                </c:pt>
                <c:pt idx="7">
                  <c:v>5.3333333333333348</c:v>
                </c:pt>
                <c:pt idx="8">
                  <c:v>6.666666666666667</c:v>
                </c:pt>
                <c:pt idx="9">
                  <c:v>8</c:v>
                </c:pt>
                <c:pt idx="10">
                  <c:v>9.3333333333333357</c:v>
                </c:pt>
                <c:pt idx="11">
                  <c:v>10.666666666666671</c:v>
                </c:pt>
                <c:pt idx="12">
                  <c:v>12</c:v>
                </c:pt>
              </c:numCache>
            </c:numRef>
          </c:xVal>
          <c:yVal>
            <c:numRef>
              <c:f>Sheet1!$F$1:$F$13</c:f>
              <c:numCache>
                <c:formatCode>General</c:formatCode>
                <c:ptCount val="13"/>
                <c:pt idx="0">
                  <c:v>0</c:v>
                </c:pt>
                <c:pt idx="1">
                  <c:v>4.6589018302828624E-3</c:v>
                </c:pt>
                <c:pt idx="2">
                  <c:v>2.6218883487995292E-2</c:v>
                </c:pt>
                <c:pt idx="3">
                  <c:v>6.6037735849056645E-2</c:v>
                </c:pt>
                <c:pt idx="4">
                  <c:v>0.13223883953671431</c:v>
                </c:pt>
                <c:pt idx="5">
                  <c:v>0.23054331864904551</c:v>
                </c:pt>
                <c:pt idx="6">
                  <c:v>0.47560975609756101</c:v>
                </c:pt>
                <c:pt idx="7">
                  <c:v>0.6770428015564206</c:v>
                </c:pt>
                <c:pt idx="8">
                  <c:v>0.79988851727982191</c:v>
                </c:pt>
                <c:pt idx="9">
                  <c:v>0.86944410802955063</c:v>
                </c:pt>
                <c:pt idx="10">
                  <c:v>0.90969162995594721</c:v>
                </c:pt>
                <c:pt idx="11">
                  <c:v>0.93417061813832314</c:v>
                </c:pt>
                <c:pt idx="12">
                  <c:v>0.94986709779957823</c:v>
                </c:pt>
              </c:numCache>
            </c:numRef>
          </c:yVal>
          <c:smooth val="1"/>
        </c:ser>
        <c:dLbls>
          <c:showLegendKey val="0"/>
          <c:showVal val="0"/>
          <c:showCatName val="0"/>
          <c:showSerName val="0"/>
          <c:showPercent val="0"/>
          <c:showBubbleSize val="0"/>
        </c:dLbls>
        <c:axId val="146608128"/>
        <c:axId val="146610048"/>
      </c:scatterChart>
      <c:valAx>
        <c:axId val="146608128"/>
        <c:scaling>
          <c:orientation val="minMax"/>
          <c:max val="12"/>
        </c:scaling>
        <c:delete val="0"/>
        <c:axPos val="b"/>
        <c:majorGridlines>
          <c:spPr>
            <a:ln w="3169">
              <a:solidFill>
                <a:srgbClr val="000000"/>
              </a:solidFill>
              <a:prstDash val="solid"/>
            </a:ln>
          </c:spPr>
        </c:majorGridlines>
        <c:title>
          <c:tx>
            <c:rich>
              <a:bodyPr/>
              <a:lstStyle/>
              <a:p>
                <a:pPr>
                  <a:defRPr sz="1123" b="1" i="0" u="none" strike="noStrike" baseline="0">
                    <a:solidFill>
                      <a:srgbClr val="000000"/>
                    </a:solidFill>
                    <a:latin typeface="Arial"/>
                    <a:ea typeface="Arial"/>
                    <a:cs typeface="Arial"/>
                  </a:defRPr>
                </a:pPr>
                <a:r>
                  <a:rPr lang="en-US"/>
                  <a:t>pO2 (kPa)</a:t>
                </a:r>
              </a:p>
            </c:rich>
          </c:tx>
          <c:layout>
            <c:manualLayout>
              <c:xMode val="edge"/>
              <c:yMode val="edge"/>
              <c:x val="0.4861495251237925"/>
              <c:y val="0.91715978596598058"/>
            </c:manualLayout>
          </c:layout>
          <c:overlay val="0"/>
          <c:spPr>
            <a:noFill/>
            <a:ln w="25351">
              <a:noFill/>
            </a:ln>
          </c:spPr>
        </c:title>
        <c:numFmt formatCode="General" sourceLinked="1"/>
        <c:majorTickMark val="out"/>
        <c:minorTickMark val="out"/>
        <c:tickLblPos val="nextTo"/>
        <c:spPr>
          <a:ln w="3169">
            <a:solidFill>
              <a:srgbClr val="000000"/>
            </a:solidFill>
            <a:prstDash val="solid"/>
          </a:ln>
        </c:spPr>
        <c:txPr>
          <a:bodyPr rot="0" vert="horz"/>
          <a:lstStyle/>
          <a:p>
            <a:pPr>
              <a:defRPr sz="1123" b="0" i="0" u="none" strike="noStrike" baseline="0">
                <a:solidFill>
                  <a:srgbClr val="000000"/>
                </a:solidFill>
                <a:latin typeface="Arial"/>
                <a:ea typeface="Arial"/>
                <a:cs typeface="Arial"/>
              </a:defRPr>
            </a:pPr>
            <a:endParaRPr lang="en-US"/>
          </a:p>
        </c:txPr>
        <c:crossAx val="146610048"/>
        <c:crosses val="autoZero"/>
        <c:crossBetween val="midCat"/>
        <c:majorUnit val="1"/>
        <c:minorUnit val="0.5"/>
      </c:valAx>
      <c:valAx>
        <c:axId val="146610048"/>
        <c:scaling>
          <c:orientation val="minMax"/>
          <c:max val="1"/>
        </c:scaling>
        <c:delete val="0"/>
        <c:axPos val="l"/>
        <c:majorGridlines>
          <c:spPr>
            <a:ln w="3169">
              <a:solidFill>
                <a:srgbClr val="000000"/>
              </a:solidFill>
              <a:prstDash val="solid"/>
            </a:ln>
          </c:spPr>
        </c:majorGridlines>
        <c:title>
          <c:tx>
            <c:rich>
              <a:bodyPr/>
              <a:lstStyle/>
              <a:p>
                <a:pPr>
                  <a:defRPr sz="1123" b="1" i="0" u="none" strike="noStrike" baseline="0">
                    <a:solidFill>
                      <a:srgbClr val="000000"/>
                    </a:solidFill>
                    <a:latin typeface="Arial"/>
                    <a:ea typeface="Arial"/>
                    <a:cs typeface="Arial"/>
                  </a:defRPr>
                </a:pPr>
                <a:r>
                  <a:rPr lang="en-US"/>
                  <a:t>Fractional Saturation</a:t>
                </a:r>
              </a:p>
            </c:rich>
          </c:tx>
          <c:layout>
            <c:manualLayout>
              <c:xMode val="edge"/>
              <c:yMode val="edge"/>
              <c:x val="1.1080282490461888E-2"/>
              <c:y val="0.24852064210205771"/>
            </c:manualLayout>
          </c:layout>
          <c:overlay val="0"/>
          <c:spPr>
            <a:noFill/>
            <a:ln w="25351">
              <a:noFill/>
            </a:ln>
          </c:spPr>
        </c:title>
        <c:numFmt formatCode="General" sourceLinked="1"/>
        <c:majorTickMark val="out"/>
        <c:minorTickMark val="out"/>
        <c:tickLblPos val="nextTo"/>
        <c:spPr>
          <a:ln w="3169">
            <a:solidFill>
              <a:srgbClr val="000000"/>
            </a:solidFill>
            <a:prstDash val="solid"/>
          </a:ln>
        </c:spPr>
        <c:txPr>
          <a:bodyPr rot="0" vert="horz"/>
          <a:lstStyle/>
          <a:p>
            <a:pPr>
              <a:defRPr sz="1123" b="0" i="0" u="none" strike="noStrike" baseline="0">
                <a:solidFill>
                  <a:srgbClr val="000000"/>
                </a:solidFill>
                <a:latin typeface="Arial"/>
                <a:ea typeface="Arial"/>
                <a:cs typeface="Arial"/>
              </a:defRPr>
            </a:pPr>
            <a:endParaRPr lang="en-US"/>
          </a:p>
        </c:txPr>
        <c:crossAx val="146608128"/>
        <c:crosses val="autoZero"/>
        <c:crossBetween val="midCat"/>
        <c:majorUnit val="0.1"/>
        <c:minorUnit val="0.05"/>
      </c:valAx>
      <c:spPr>
        <a:solidFill>
          <a:srgbClr val="FFFFFF"/>
        </a:solidFill>
        <a:ln w="12676">
          <a:solidFill>
            <a:srgbClr val="808080"/>
          </a:solidFill>
          <a:prstDash val="solid"/>
        </a:ln>
      </c:spPr>
    </c:plotArea>
    <c:plotVisOnly val="1"/>
    <c:dispBlanksAs val="gap"/>
    <c:showDLblsOverMax val="0"/>
  </c:chart>
  <c:spPr>
    <a:solidFill>
      <a:srgbClr val="FFFFFF"/>
    </a:solidFill>
    <a:ln>
      <a:noFill/>
    </a:ln>
  </c:spPr>
  <c:txPr>
    <a:bodyPr/>
    <a:lstStyle/>
    <a:p>
      <a:pPr>
        <a:defRPr sz="102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EB68-AAA2-4AD9-9529-F7861201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Lecture 13: Allosteric Effects and Cooperative Binding</vt:lpstr>
    </vt:vector>
  </TitlesOfParts>
  <Company>carnegie mellon university</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13: Allosteric Effects and Cooperative Binding</dc:title>
  <dc:creator>gordon rule</dc:creator>
  <cp:lastModifiedBy>Gordon Rule</cp:lastModifiedBy>
  <cp:revision>4</cp:revision>
  <cp:lastPrinted>2009-02-06T16:10:00Z</cp:lastPrinted>
  <dcterms:created xsi:type="dcterms:W3CDTF">2012-02-16T03:13:00Z</dcterms:created>
  <dcterms:modified xsi:type="dcterms:W3CDTF">2013-02-12T05:14:00Z</dcterms:modified>
</cp:coreProperties>
</file>