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F6" w:rsidRDefault="009830E4" w:rsidP="002B48E3">
      <w:pPr>
        <w:spacing w:after="0" w:line="240" w:lineRule="auto"/>
      </w:pPr>
      <w:r>
        <w:t xml:space="preserve">03-131 Genes, Drugs, and Diseases       </w:t>
      </w:r>
      <w:r w:rsidR="00653318">
        <w:t xml:space="preserve">              </w:t>
      </w:r>
      <w:r>
        <w:t xml:space="preserve">            Problem set 4</w:t>
      </w:r>
      <w:r w:rsidR="00904536">
        <w:t xml:space="preserve">        </w:t>
      </w:r>
      <w:r w:rsidR="00653318">
        <w:t xml:space="preserve">      </w:t>
      </w:r>
      <w:r w:rsidR="000176F1">
        <w:t xml:space="preserve">                    September 27, 2015</w:t>
      </w:r>
    </w:p>
    <w:p w:rsidR="005F7B73" w:rsidRDefault="00454DA2" w:rsidP="002B48E3">
      <w:pPr>
        <w:spacing w:before="120" w:after="0" w:line="240" w:lineRule="auto"/>
        <w:ind w:left="288" w:hanging="28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9pt;margin-top:3.15pt;width:268.25pt;height:98.2pt;z-index:251660288;mso-wrap-distance-left:7.2pt;mso-wrap-distance-right:0">
            <v:imagedata r:id="rId6" o:title=""/>
            <w10:wrap type="square" side="left"/>
          </v:shape>
          <o:OLEObject Type="Embed" ProgID="ISISServer" ShapeID="_x0000_s1026" DrawAspect="Content" ObjectID="_1505069196" r:id="rId7"/>
        </w:pict>
      </w:r>
      <w:r w:rsidR="005F7B73">
        <w:t xml:space="preserve">1. </w:t>
      </w:r>
      <w:r w:rsidR="005043DE">
        <w:t xml:space="preserve">(6 pts, 10 min) </w:t>
      </w:r>
      <w:r w:rsidR="005F7B73">
        <w:t>Shown to the right is one of the substrates for reverse transcriptase and two drugs, compound I and compound II, that are currently used to inhibit the enzyme.</w:t>
      </w:r>
    </w:p>
    <w:p w:rsidR="005F7B73" w:rsidRDefault="005F7B73" w:rsidP="002B48E3">
      <w:pPr>
        <w:spacing w:before="40" w:after="0" w:line="240" w:lineRule="auto"/>
        <w:ind w:left="576" w:hanging="288"/>
        <w:jc w:val="both"/>
      </w:pPr>
      <w:r>
        <w:t>i) Briefly describe the role of this enzyme in the HIV lifecycle and indicate why it would be a parti</w:t>
      </w:r>
      <w:r w:rsidR="005043DE">
        <w:t>cularly good drug target</w:t>
      </w:r>
      <w:r>
        <w:t>.</w:t>
      </w:r>
    </w:p>
    <w:p w:rsidR="005F7B73" w:rsidRDefault="00454DA2" w:rsidP="002B48E3">
      <w:pPr>
        <w:spacing w:before="40" w:after="0" w:line="240" w:lineRule="auto"/>
        <w:ind w:left="576" w:hanging="288"/>
        <w:jc w:val="both"/>
      </w:pPr>
      <w:r>
        <w:rPr>
          <w:noProof/>
        </w:rPr>
        <w:pict>
          <v:shape id="_x0000_s1028" type="#_x0000_t75" style="position:absolute;left:0;text-align:left;margin-left:372.4pt;margin-top:27.35pt;width:151.05pt;height:214.45pt;z-index:251662336">
            <v:imagedata r:id="rId8" o:title=""/>
            <w10:wrap type="square" side="largest"/>
          </v:shape>
          <o:OLEObject Type="Embed" ProgID="ISISServer" ShapeID="_x0000_s1028" DrawAspect="Content" ObjectID="_1505069197" r:id="rId9"/>
        </w:pict>
      </w:r>
      <w:r w:rsidR="005F7B73">
        <w:t>ii) Based on the structure of the drugs, which drug is most likely to be an allosteric inhibitor and which is most likely to be a competitive inhibitor.  Be sure to justify your answer.</w:t>
      </w:r>
    </w:p>
    <w:p w:rsidR="00653318" w:rsidRDefault="00653318" w:rsidP="00653318">
      <w:pPr>
        <w:spacing w:before="40" w:after="0" w:line="240" w:lineRule="auto"/>
        <w:ind w:left="288" w:hanging="288"/>
      </w:pPr>
      <w:r>
        <w:t xml:space="preserve">2. </w:t>
      </w:r>
      <w:r w:rsidR="006449A5">
        <w:t xml:space="preserve">(5 pts, 10 min) </w:t>
      </w:r>
      <w:proofErr w:type="gramStart"/>
      <w:r>
        <w:t>Both</w:t>
      </w:r>
      <w:proofErr w:type="gramEnd"/>
      <w:r>
        <w:t xml:space="preserve"> compound I and compound II can inhibit HIV reverse transcriptase. Which will be the better inhibitor if the substrate concentrations are high in the cell? Briefly justify your answer.</w:t>
      </w:r>
    </w:p>
    <w:p w:rsidR="000176F1" w:rsidRDefault="000176F1" w:rsidP="000176F1">
      <w:pPr>
        <w:spacing w:before="60" w:after="0" w:line="240" w:lineRule="auto"/>
        <w:ind w:left="216" w:hanging="216"/>
        <w:jc w:val="both"/>
      </w:pPr>
      <w:r>
        <w:t xml:space="preserve">3. </w:t>
      </w:r>
      <w:r w:rsidR="006449A5">
        <w:t xml:space="preserve">(5 pts, 5 min) </w:t>
      </w:r>
      <w:r>
        <w:t xml:space="preserve">Draw </w:t>
      </w:r>
      <w:proofErr w:type="spellStart"/>
      <w:r>
        <w:t>dAMP</w:t>
      </w:r>
      <w:proofErr w:type="spellEnd"/>
      <w:r>
        <w:t xml:space="preserve"> and label the 5’ and 3’ carbons.  How does </w:t>
      </w:r>
      <w:proofErr w:type="spellStart"/>
      <w:r>
        <w:t>dATP</w:t>
      </w:r>
      <w:proofErr w:type="spellEnd"/>
      <w:r>
        <w:t xml:space="preserve"> differ from </w:t>
      </w:r>
      <w:proofErr w:type="spellStart"/>
      <w:r>
        <w:t>dAMP</w:t>
      </w:r>
      <w:proofErr w:type="spellEnd"/>
      <w:r>
        <w:t>?</w:t>
      </w:r>
    </w:p>
    <w:p w:rsidR="002B48E3" w:rsidRDefault="000176F1" w:rsidP="00F32C94">
      <w:pPr>
        <w:spacing w:before="60" w:after="0" w:line="240" w:lineRule="auto"/>
        <w:ind w:left="288" w:hanging="288"/>
      </w:pPr>
      <w:r>
        <w:t>4</w:t>
      </w:r>
      <w:r w:rsidR="002B48E3">
        <w:t xml:space="preserve">. </w:t>
      </w:r>
      <w:r w:rsidR="005043DE">
        <w:t xml:space="preserve">(4 pts, 2 min) </w:t>
      </w:r>
      <w:proofErr w:type="gramStart"/>
      <w:r w:rsidR="002B48E3">
        <w:t>Write</w:t>
      </w:r>
      <w:proofErr w:type="gramEnd"/>
      <w:r w:rsidR="002B48E3">
        <w:t xml:space="preserve"> the corresponding RNA sequence for the following DNA sequence.  </w:t>
      </w:r>
      <w:proofErr w:type="gramStart"/>
      <w:r w:rsidR="002B48E3">
        <w:t>ATGCGTGACTAG</w:t>
      </w:r>
      <w:r w:rsidR="00653318">
        <w:t>.</w:t>
      </w:r>
      <w:proofErr w:type="gramEnd"/>
      <w:r w:rsidR="00653318">
        <w:t xml:space="preserve">  Please label the 5’ end.</w:t>
      </w:r>
    </w:p>
    <w:p w:rsidR="002B48E3" w:rsidRDefault="000176F1" w:rsidP="00F32C94">
      <w:pPr>
        <w:spacing w:before="60" w:after="0" w:line="240" w:lineRule="auto"/>
        <w:ind w:left="288" w:hanging="288"/>
      </w:pPr>
      <w:r>
        <w:t>5</w:t>
      </w:r>
      <w:r w:rsidR="002B48E3">
        <w:t xml:space="preserve">. </w:t>
      </w:r>
      <w:r w:rsidR="005043DE">
        <w:t xml:space="preserve">(4 pts, 2 min) </w:t>
      </w:r>
      <w:proofErr w:type="gramStart"/>
      <w:r w:rsidR="002B48E3">
        <w:t>Write</w:t>
      </w:r>
      <w:proofErr w:type="gramEnd"/>
      <w:r w:rsidR="002B48E3">
        <w:t xml:space="preserve"> the duplex DNA representation of this DNA sequence.  </w:t>
      </w:r>
      <w:proofErr w:type="gramStart"/>
      <w:r w:rsidR="005043DE">
        <w:t>A</w:t>
      </w:r>
      <w:r w:rsidR="002B48E3">
        <w:t>TGCGTGACTAG</w:t>
      </w:r>
      <w:r w:rsidR="00653318">
        <w:t>.</w:t>
      </w:r>
      <w:proofErr w:type="gramEnd"/>
      <w:r w:rsidR="00653318">
        <w:t xml:space="preserve">  Please label the 5’ end.</w:t>
      </w:r>
    </w:p>
    <w:p w:rsidR="002B48E3" w:rsidRDefault="000176F1" w:rsidP="00F32C94">
      <w:pPr>
        <w:spacing w:before="60" w:after="0" w:line="240" w:lineRule="auto"/>
        <w:ind w:left="288" w:hanging="288"/>
      </w:pPr>
      <w:r>
        <w:t>6</w:t>
      </w:r>
      <w:r w:rsidR="002B48E3">
        <w:t xml:space="preserve">. </w:t>
      </w:r>
      <w:r w:rsidR="005043DE">
        <w:t xml:space="preserve">(9 pts, 15 min) </w:t>
      </w:r>
      <w:proofErr w:type="gramStart"/>
      <w:r w:rsidR="002B48E3">
        <w:t>The</w:t>
      </w:r>
      <w:proofErr w:type="gramEnd"/>
      <w:r w:rsidR="002B48E3">
        <w:t xml:space="preserve"> diagram to the right shows three different </w:t>
      </w:r>
      <w:proofErr w:type="spellStart"/>
      <w:r w:rsidR="002B48E3">
        <w:t>basepairs</w:t>
      </w:r>
      <w:proofErr w:type="spellEnd"/>
      <w:r w:rsidR="002B48E3">
        <w:t xml:space="preserve">, T-T, A-T (normal </w:t>
      </w:r>
      <w:proofErr w:type="spellStart"/>
      <w:r w:rsidR="002B48E3">
        <w:t>basepair</w:t>
      </w:r>
      <w:proofErr w:type="spellEnd"/>
      <w:r w:rsidR="002B48E3">
        <w:t>) and A-G.</w:t>
      </w:r>
    </w:p>
    <w:p w:rsidR="002B48E3" w:rsidRDefault="002B48E3" w:rsidP="005043DE">
      <w:pPr>
        <w:spacing w:after="0" w:line="240" w:lineRule="auto"/>
        <w:ind w:left="576" w:hanging="288"/>
      </w:pPr>
      <w:r>
        <w:t xml:space="preserve">i) Identify hydrogen bonds </w:t>
      </w:r>
      <w:r w:rsidRPr="005043DE">
        <w:rPr>
          <w:b/>
        </w:rPr>
        <w:t>between</w:t>
      </w:r>
      <w:r>
        <w:t xml:space="preserve"> each pair of bases.  How many hydrogen bonds do you see for each </w:t>
      </w:r>
      <w:proofErr w:type="spellStart"/>
      <w:r>
        <w:t>basepair</w:t>
      </w:r>
      <w:proofErr w:type="spellEnd"/>
      <w:r>
        <w:t>?</w:t>
      </w:r>
    </w:p>
    <w:p w:rsidR="002B48E3" w:rsidRDefault="002B48E3" w:rsidP="005043DE">
      <w:pPr>
        <w:spacing w:after="0" w:line="240" w:lineRule="auto"/>
        <w:ind w:left="576" w:hanging="288"/>
      </w:pPr>
      <w:r>
        <w:t xml:space="preserve">ii) </w:t>
      </w:r>
      <w:r w:rsidR="005043DE">
        <w:t xml:space="preserve">What is the relative size of each </w:t>
      </w:r>
      <w:proofErr w:type="spellStart"/>
      <w:r w:rsidR="005043DE">
        <w:t>basepair</w:t>
      </w:r>
      <w:proofErr w:type="spellEnd"/>
      <w:r w:rsidR="005043DE">
        <w:t>, what is t</w:t>
      </w:r>
      <w:r w:rsidR="000176F1">
        <w:t xml:space="preserve">he distance between the </w:t>
      </w:r>
      <w:proofErr w:type="spellStart"/>
      <w:r w:rsidR="000176F1">
        <w:t>riboses</w:t>
      </w:r>
      <w:proofErr w:type="spellEnd"/>
      <w:r w:rsidR="000176F1">
        <w:t xml:space="preserve"> (e.g. large, medium, or small)</w:t>
      </w:r>
      <w:proofErr w:type="gramStart"/>
      <w:r w:rsidR="000176F1">
        <w:t>.</w:t>
      </w:r>
      <w:proofErr w:type="gramEnd"/>
    </w:p>
    <w:p w:rsidR="005043DE" w:rsidRDefault="005043DE" w:rsidP="005043DE">
      <w:pPr>
        <w:spacing w:after="0" w:line="240" w:lineRule="auto"/>
        <w:ind w:left="576" w:hanging="288"/>
      </w:pPr>
      <w:r>
        <w:t xml:space="preserve">iii) </w:t>
      </w:r>
      <w:r w:rsidR="000176F1">
        <w:t>When DNA is replicated by polymerases</w:t>
      </w:r>
      <w:proofErr w:type="gramStart"/>
      <w:r w:rsidR="000176F1">
        <w:t>,  the</w:t>
      </w:r>
      <w:proofErr w:type="gramEnd"/>
      <w:r w:rsidR="000176F1">
        <w:t xml:space="preserve"> correct pairing of bases is A with T; other pairings, e.g. T-T, A-G are incorrect and would lead to mutations.  </w:t>
      </w:r>
      <w:r>
        <w:t>Based on your answer to part i) and part ii), what other criteria do polymerases use to insert the correct base, besides numbers of hydrogen bonds?</w:t>
      </w:r>
    </w:p>
    <w:p w:rsidR="002B48E3" w:rsidRPr="005043DE" w:rsidRDefault="002B48E3" w:rsidP="00653318">
      <w:pPr>
        <w:spacing w:before="120" w:after="0" w:line="240" w:lineRule="auto"/>
        <w:rPr>
          <w:b/>
        </w:rPr>
      </w:pPr>
      <w:proofErr w:type="spellStart"/>
      <w:r w:rsidRPr="005043DE">
        <w:rPr>
          <w:b/>
        </w:rPr>
        <w:t>Jmol</w:t>
      </w:r>
      <w:proofErr w:type="spellEnd"/>
      <w:r w:rsidRPr="005043DE">
        <w:rPr>
          <w:b/>
        </w:rPr>
        <w:t xml:space="preserve"> </w:t>
      </w:r>
      <w:r w:rsidR="009830E4">
        <w:rPr>
          <w:b/>
        </w:rPr>
        <w:t xml:space="preserve">Questions – You will need to view two </w:t>
      </w:r>
      <w:proofErr w:type="spellStart"/>
      <w:r w:rsidR="009830E4">
        <w:rPr>
          <w:b/>
        </w:rPr>
        <w:t>Jmol</w:t>
      </w:r>
      <w:proofErr w:type="spellEnd"/>
      <w:r w:rsidR="009830E4">
        <w:rPr>
          <w:b/>
        </w:rPr>
        <w:t xml:space="preserve"> pages for this problem set</w:t>
      </w:r>
    </w:p>
    <w:p w:rsidR="00653318" w:rsidRDefault="00C169AA" w:rsidP="00653318">
      <w:pPr>
        <w:spacing w:before="60" w:after="0" w:line="240" w:lineRule="auto"/>
        <w:ind w:left="216" w:hanging="216"/>
        <w:jc w:val="both"/>
      </w:pPr>
      <w:r>
        <w:t>7</w:t>
      </w:r>
      <w:r w:rsidR="00653318">
        <w:t xml:space="preserve">. Visit the first </w:t>
      </w:r>
      <w:proofErr w:type="spellStart"/>
      <w:r w:rsidR="00653318">
        <w:t>Jmol</w:t>
      </w:r>
      <w:proofErr w:type="spellEnd"/>
      <w:r w:rsidR="00653318">
        <w:t xml:space="preserve"> page</w:t>
      </w:r>
      <w:r w:rsidR="00984A08">
        <w:t xml:space="preserve"> (</w:t>
      </w:r>
      <w:proofErr w:type="spellStart"/>
      <w:r w:rsidR="00984A08">
        <w:t>Jmol</w:t>
      </w:r>
      <w:proofErr w:type="spellEnd"/>
      <w:r w:rsidR="00984A08">
        <w:t>-A)</w:t>
      </w:r>
      <w:r w:rsidR="00653318">
        <w:t xml:space="preserve"> and answer the following questions.</w:t>
      </w:r>
    </w:p>
    <w:p w:rsidR="00653318" w:rsidRDefault="00653318" w:rsidP="00653318">
      <w:pPr>
        <w:spacing w:before="60" w:after="0" w:line="240" w:lineRule="auto"/>
        <w:ind w:left="504" w:hanging="216"/>
        <w:jc w:val="both"/>
      </w:pPr>
      <w:r>
        <w:t>i) Is the label “A” at the 5’ or 3’ end of the molecule?</w:t>
      </w:r>
      <w:r w:rsidR="00F35F38">
        <w:t xml:space="preserve">  Why?</w:t>
      </w:r>
    </w:p>
    <w:p w:rsidR="00653318" w:rsidRDefault="00653318" w:rsidP="00653318">
      <w:pPr>
        <w:spacing w:before="60" w:after="0" w:line="240" w:lineRule="auto"/>
        <w:ind w:left="504" w:hanging="216"/>
        <w:jc w:val="both"/>
      </w:pPr>
      <w:proofErr w:type="gramStart"/>
      <w:r>
        <w:t>ii</w:t>
      </w:r>
      <w:proofErr w:type="gramEnd"/>
      <w:r>
        <w:t>) Is this DNA or RNA, justify your answer.</w:t>
      </w:r>
    </w:p>
    <w:p w:rsidR="002361A6" w:rsidRDefault="00C169AA" w:rsidP="00653318">
      <w:pPr>
        <w:spacing w:before="60" w:after="0" w:line="240" w:lineRule="auto"/>
        <w:ind w:left="216" w:hanging="216"/>
        <w:jc w:val="both"/>
      </w:pPr>
      <w:r>
        <w:t>8</w:t>
      </w:r>
      <w:r w:rsidR="002361A6">
        <w:t xml:space="preserve">. (16 pts, 20 min) </w:t>
      </w:r>
      <w:proofErr w:type="gramStart"/>
      <w:r w:rsidR="002361A6">
        <w:t>The</w:t>
      </w:r>
      <w:proofErr w:type="gramEnd"/>
      <w:r w:rsidR="002361A6">
        <w:t xml:space="preserve"> </w:t>
      </w:r>
      <w:r w:rsidR="00F35F38">
        <w:t>second</w:t>
      </w:r>
      <w:r w:rsidR="002361A6">
        <w:t xml:space="preserve"> </w:t>
      </w:r>
      <w:proofErr w:type="spellStart"/>
      <w:r w:rsidR="002361A6">
        <w:t>Jmol</w:t>
      </w:r>
      <w:proofErr w:type="spellEnd"/>
      <w:r w:rsidR="002361A6">
        <w:t xml:space="preserve"> page </w:t>
      </w:r>
      <w:r w:rsidR="00984A08">
        <w:t>(</w:t>
      </w:r>
      <w:proofErr w:type="spellStart"/>
      <w:r w:rsidR="00984A08">
        <w:t>Jmol</w:t>
      </w:r>
      <w:proofErr w:type="spellEnd"/>
      <w:r w:rsidR="00984A08">
        <w:t xml:space="preserve">-B) </w:t>
      </w:r>
      <w:r w:rsidR="002361A6">
        <w:t>associated with this problem set shows wild-type and a mutant HIV protease in complex with a number of different HIV drugs.  One of these drugs is the same as the one presented in class. This drug contains a cyclohexane ring at one end and it binds to the wild-type enzyme with high affinity.</w:t>
      </w:r>
    </w:p>
    <w:p w:rsidR="002361A6" w:rsidRDefault="00984A08" w:rsidP="00984A08">
      <w:pPr>
        <w:spacing w:after="0" w:line="240" w:lineRule="auto"/>
        <w:ind w:left="216" w:firstLine="288"/>
        <w:jc w:val="both"/>
      </w:pPr>
      <w:r>
        <w:t>Three</w:t>
      </w:r>
      <w:r w:rsidR="002361A6">
        <w:t xml:space="preserve"> different drugs, with alteration in the cyclohexane ring, have been developed for the purpose of inactivating a </w:t>
      </w:r>
      <w:r w:rsidR="002361A6">
        <w:rPr>
          <w:i/>
        </w:rPr>
        <w:t>mutant</w:t>
      </w:r>
      <w:r w:rsidR="002361A6">
        <w:t xml:space="preserve"> HIV protease. Reciprocal plots are provided that give the activity of the wild-type protein without and with the cyclohexane drug.  A separate plot is given for the mutant protein, without drug, with the cyclohexane drug, and with </w:t>
      </w:r>
      <w:r w:rsidR="00AC3CD7">
        <w:t>three</w:t>
      </w:r>
      <w:r w:rsidR="002361A6">
        <w:t xml:space="preserve"> other drugs.  Please answer the following questions.</w:t>
      </w:r>
    </w:p>
    <w:p w:rsidR="002361A6" w:rsidRDefault="002361A6" w:rsidP="005043DE">
      <w:pPr>
        <w:spacing w:before="40" w:after="0" w:line="240" w:lineRule="auto"/>
        <w:ind w:left="504" w:hanging="216"/>
        <w:jc w:val="both"/>
      </w:pPr>
      <w:r>
        <w:t>i) What feature of the HIV life-cycle leads to a high level of mutations in the HIV genetic material (2 pts)?</w:t>
      </w:r>
    </w:p>
    <w:p w:rsidR="002361A6" w:rsidRDefault="002361A6" w:rsidP="005043DE">
      <w:pPr>
        <w:spacing w:before="40" w:after="0" w:line="240" w:lineRule="auto"/>
        <w:ind w:left="504" w:hanging="216"/>
        <w:jc w:val="both"/>
      </w:pPr>
      <w:r>
        <w:t xml:space="preserve">ii) Which residue is altered in the mutant HIV protease? </w:t>
      </w:r>
      <w:r w:rsidR="00984A08">
        <w:t>What has the valine at position 82 been changed to?</w:t>
      </w:r>
      <w:r>
        <w:t xml:space="preserve"> (1 pt)</w:t>
      </w:r>
    </w:p>
    <w:p w:rsidR="002361A6" w:rsidRDefault="002361A6" w:rsidP="005043DE">
      <w:pPr>
        <w:spacing w:before="40" w:after="0" w:line="240" w:lineRule="auto"/>
        <w:ind w:left="504" w:hanging="216"/>
        <w:jc w:val="both"/>
      </w:pPr>
      <w:r>
        <w:t>iii) Does this residue contribute mostly to catalysis or specificity</w:t>
      </w:r>
      <w:r w:rsidR="000176F1">
        <w:t xml:space="preserve"> of substrate binding</w:t>
      </w:r>
      <w:r>
        <w:t>? Justify your answer. (2 pts)</w:t>
      </w:r>
    </w:p>
    <w:p w:rsidR="002361A6" w:rsidRPr="00C07CAE" w:rsidRDefault="002361A6" w:rsidP="005043DE">
      <w:pPr>
        <w:spacing w:before="40" w:after="0" w:line="240" w:lineRule="auto"/>
        <w:ind w:left="504" w:hanging="216"/>
        <w:jc w:val="both"/>
      </w:pPr>
      <w:r>
        <w:t>iv) Explain, with refer</w:t>
      </w:r>
      <w:r w:rsidR="009830E4">
        <w:t>ence to the change in K</w:t>
      </w:r>
      <w:r w:rsidR="009830E4">
        <w:rPr>
          <w:vertAlign w:val="subscript"/>
        </w:rPr>
        <w:t>I</w:t>
      </w:r>
      <w:r w:rsidR="002B48E3">
        <w:t xml:space="preserve"> (</w:t>
      </w:r>
      <w:r w:rsidR="009830E4">
        <w:t xml:space="preserve">which you can obtain from the </w:t>
      </w:r>
      <w:r w:rsidR="002B48E3">
        <w:t>slope</w:t>
      </w:r>
      <w:r w:rsidR="009830E4">
        <w:t>s</w:t>
      </w:r>
      <w:r w:rsidR="002B48E3">
        <w:t xml:space="preserve"> of the reciprocal plot</w:t>
      </w:r>
      <w:r w:rsidR="009830E4">
        <w:t>s</w:t>
      </w:r>
      <w:r w:rsidR="002B48E3">
        <w:t>)</w:t>
      </w:r>
      <w:r w:rsidR="00984A08">
        <w:t xml:space="preserve"> and the structure of the enzyme-inhibitor complex for the wild-type and mutant enzymes</w:t>
      </w:r>
      <w:r>
        <w:t xml:space="preserve">, why the affinity to the original cyclohexane drug has been affected by this </w:t>
      </w:r>
      <w:proofErr w:type="gramStart"/>
      <w:r>
        <w:t>mutation  (</w:t>
      </w:r>
      <w:proofErr w:type="gramEnd"/>
      <w:r>
        <w:t>3 pts)</w:t>
      </w:r>
      <w:r w:rsidR="00C07CAE">
        <w:t xml:space="preserve">.  </w:t>
      </w:r>
      <w:r w:rsidR="00C07CAE" w:rsidRPr="000176F1">
        <w:rPr>
          <w:b/>
        </w:rPr>
        <w:t>In calculating K</w:t>
      </w:r>
      <w:r w:rsidR="00C07CAE" w:rsidRPr="000176F1">
        <w:rPr>
          <w:b/>
          <w:vertAlign w:val="subscript"/>
        </w:rPr>
        <w:t>I</w:t>
      </w:r>
      <w:r w:rsidR="00C07CAE" w:rsidRPr="000176F1">
        <w:rPr>
          <w:b/>
        </w:rPr>
        <w:t xml:space="preserve"> values, assume an inhibitor concentration of 1 </w:t>
      </w:r>
      <w:proofErr w:type="spellStart"/>
      <w:r w:rsidR="00C07CAE" w:rsidRPr="000176F1">
        <w:rPr>
          <w:b/>
        </w:rPr>
        <w:t>nM</w:t>
      </w:r>
      <w:proofErr w:type="spellEnd"/>
      <w:r w:rsidR="00C07CAE" w:rsidRPr="000176F1">
        <w:rPr>
          <w:b/>
        </w:rPr>
        <w:t>.</w:t>
      </w:r>
    </w:p>
    <w:p w:rsidR="002361A6" w:rsidRDefault="002361A6" w:rsidP="005043DE">
      <w:pPr>
        <w:spacing w:before="40" w:after="0" w:line="240" w:lineRule="auto"/>
        <w:ind w:left="504" w:hanging="216"/>
        <w:jc w:val="both"/>
      </w:pPr>
      <w:r>
        <w:lastRenderedPageBreak/>
        <w:t xml:space="preserve">v) Which of the </w:t>
      </w:r>
      <w:r w:rsidR="00984A08">
        <w:t>three</w:t>
      </w:r>
      <w:r>
        <w:t xml:space="preserve"> drugs would be the </w:t>
      </w:r>
      <w:r>
        <w:rPr>
          <w:i/>
        </w:rPr>
        <w:t>worst</w:t>
      </w:r>
      <w:r>
        <w:t xml:space="preserve"> inhibitor of the mutant protease? Justify your answer with reference to the reciprocal plot, as well as the interaction between the drug and the mutant enzyme.  A simple sketch of the interaction between the drug and the inhibitor would be useful (4 pts).</w:t>
      </w:r>
    </w:p>
    <w:p w:rsidR="002361A6" w:rsidRDefault="002361A6" w:rsidP="005043DE">
      <w:pPr>
        <w:spacing w:before="40" w:after="0" w:line="240" w:lineRule="auto"/>
        <w:ind w:left="504" w:hanging="216"/>
        <w:jc w:val="both"/>
      </w:pPr>
      <w:proofErr w:type="gramStart"/>
      <w:r>
        <w:t>vi) Which</w:t>
      </w:r>
      <w:proofErr w:type="gramEnd"/>
      <w:r>
        <w:t xml:space="preserve"> of the </w:t>
      </w:r>
      <w:r w:rsidR="00984A08">
        <w:t>three</w:t>
      </w:r>
      <w:r>
        <w:t xml:space="preserve"> drugs would be the </w:t>
      </w:r>
      <w:r>
        <w:rPr>
          <w:i/>
        </w:rPr>
        <w:t>best</w:t>
      </w:r>
      <w:r>
        <w:t xml:space="preserve"> inhibitor of the mutant protease? Justify your answer with reference to the reciprocal plot, as well as the interaction between the drug and the mutant enzyme.</w:t>
      </w:r>
      <w:r w:rsidR="002B48E3">
        <w:t xml:space="preserve"> </w:t>
      </w:r>
      <w:r>
        <w:t>A simple sketch of the interaction between the drug and the enzyme would be useful (4 pts).</w:t>
      </w:r>
    </w:p>
    <w:p w:rsidR="00653318" w:rsidRDefault="009F370E" w:rsidP="002B48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29" type="#_x0000_t75" style="position:absolute;left:0;text-align:left;margin-left:-21.45pt;margin-top:12.95pt;width:586.95pt;height:110.2pt;z-index:251665408;mso-wrap-distance-right:0">
            <v:imagedata r:id="rId10" o:title=""/>
            <w10:wrap type="topAndBottom" side="left"/>
          </v:shape>
          <o:OLEObject Type="Embed" ProgID="ISISServer" ShapeID="_x0000_s1029" DrawAspect="Content" ObjectID="_1505069198" r:id="rId11"/>
        </w:pict>
      </w:r>
      <w:r>
        <w:rPr>
          <w:rFonts w:ascii="Arial" w:hAnsi="Arial" w:cs="Arial"/>
          <w:sz w:val="18"/>
          <w:szCs w:val="18"/>
        </w:rPr>
        <w:t>Structures of Drugs:</w:t>
      </w:r>
    </w:p>
    <w:p w:rsidR="009F370E" w:rsidRDefault="009F370E" w:rsidP="002B48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F370E" w:rsidRDefault="009F370E" w:rsidP="002B48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361A6" w:rsidRPr="00DE624C" w:rsidRDefault="002361A6" w:rsidP="002B48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E624C">
        <w:rPr>
          <w:rFonts w:ascii="Arial" w:hAnsi="Arial" w:cs="Arial"/>
          <w:sz w:val="18"/>
          <w:szCs w:val="18"/>
        </w:rPr>
        <w:t>J-</w:t>
      </w:r>
      <w:proofErr w:type="spellStart"/>
      <w:r w:rsidRPr="00DE624C">
        <w:rPr>
          <w:rFonts w:ascii="Arial" w:hAnsi="Arial" w:cs="Arial"/>
          <w:sz w:val="18"/>
          <w:szCs w:val="18"/>
        </w:rPr>
        <w:t>mol</w:t>
      </w:r>
      <w:proofErr w:type="spellEnd"/>
      <w:r w:rsidRPr="00DE624C">
        <w:rPr>
          <w:rFonts w:ascii="Arial" w:hAnsi="Arial" w:cs="Arial"/>
          <w:sz w:val="18"/>
          <w:szCs w:val="18"/>
        </w:rPr>
        <w:t xml:space="preserve"> page instructions: </w:t>
      </w:r>
    </w:p>
    <w:p w:rsidR="002361A6" w:rsidRPr="008203EF" w:rsidRDefault="00DB1DDA" w:rsidP="002B48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“</w:t>
      </w:r>
      <w:proofErr w:type="spellStart"/>
      <w:r>
        <w:rPr>
          <w:rFonts w:ascii="Arial" w:hAnsi="Arial" w:cs="Arial"/>
          <w:sz w:val="18"/>
          <w:szCs w:val="18"/>
        </w:rPr>
        <w:t>Wild-type+CycloHex</w:t>
      </w:r>
      <w:proofErr w:type="spellEnd"/>
      <w:r w:rsidR="002361A6" w:rsidRPr="008203EF">
        <w:rPr>
          <w:rFonts w:ascii="Arial" w:hAnsi="Arial" w:cs="Arial"/>
          <w:sz w:val="18"/>
          <w:szCs w:val="18"/>
        </w:rPr>
        <w:t>” button will load the “</w:t>
      </w:r>
      <w:r>
        <w:rPr>
          <w:rFonts w:ascii="Arial" w:hAnsi="Arial" w:cs="Arial"/>
          <w:sz w:val="18"/>
          <w:szCs w:val="18"/>
        </w:rPr>
        <w:t>wild-type” or non-mutant enzyme with the original drug bound.</w:t>
      </w:r>
    </w:p>
    <w:p w:rsidR="002361A6" w:rsidRPr="008203EF" w:rsidRDefault="002361A6" w:rsidP="002B48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203EF">
        <w:rPr>
          <w:rFonts w:ascii="Arial" w:hAnsi="Arial" w:cs="Arial"/>
          <w:sz w:val="18"/>
          <w:szCs w:val="18"/>
        </w:rPr>
        <w:t>The “simple view” button will show the backbone of the protein, the sidechain of key residues, and the bound drug.</w:t>
      </w:r>
    </w:p>
    <w:p w:rsidR="002361A6" w:rsidRPr="008203EF" w:rsidRDefault="002361A6" w:rsidP="002B48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203EF">
        <w:rPr>
          <w:rFonts w:ascii="Arial" w:hAnsi="Arial" w:cs="Arial"/>
          <w:sz w:val="18"/>
          <w:szCs w:val="18"/>
        </w:rPr>
        <w:t xml:space="preserve">The check boxes will add surfaces to the indicated features, to orient </w:t>
      </w:r>
      <w:r w:rsidR="00DB1DDA" w:rsidRPr="008203EF">
        <w:rPr>
          <w:rFonts w:ascii="Arial" w:hAnsi="Arial" w:cs="Arial"/>
          <w:sz w:val="18"/>
          <w:szCs w:val="18"/>
        </w:rPr>
        <w:t>you</w:t>
      </w:r>
      <w:r w:rsidRPr="008203EF">
        <w:rPr>
          <w:rFonts w:ascii="Arial" w:hAnsi="Arial" w:cs="Arial"/>
          <w:sz w:val="18"/>
          <w:szCs w:val="18"/>
        </w:rPr>
        <w:t xml:space="preserve"> with respect to the molecule.</w:t>
      </w:r>
    </w:p>
    <w:p w:rsidR="002361A6" w:rsidRPr="008203EF" w:rsidRDefault="002361A6" w:rsidP="002B48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203EF">
        <w:rPr>
          <w:rFonts w:ascii="Arial" w:hAnsi="Arial" w:cs="Arial"/>
          <w:sz w:val="18"/>
          <w:szCs w:val="18"/>
        </w:rPr>
        <w:t>The “</w:t>
      </w:r>
      <w:proofErr w:type="spellStart"/>
      <w:r w:rsidRPr="008203EF">
        <w:rPr>
          <w:rFonts w:ascii="Arial" w:hAnsi="Arial" w:cs="Arial"/>
          <w:sz w:val="18"/>
          <w:szCs w:val="18"/>
        </w:rPr>
        <w:t>Mut+cyclohexane</w:t>
      </w:r>
      <w:proofErr w:type="spellEnd"/>
      <w:r w:rsidRPr="008203EF">
        <w:rPr>
          <w:rFonts w:ascii="Arial" w:hAnsi="Arial" w:cs="Arial"/>
          <w:sz w:val="18"/>
          <w:szCs w:val="18"/>
        </w:rPr>
        <w:t>” button will load the mutant HIV protease and the original, non-modified drug. This drug has a cyclohexane group that contacts the enz</w:t>
      </w:r>
      <w:r w:rsidR="00DB1DDA">
        <w:rPr>
          <w:rFonts w:ascii="Arial" w:hAnsi="Arial" w:cs="Arial"/>
          <w:sz w:val="18"/>
          <w:szCs w:val="18"/>
        </w:rPr>
        <w:t xml:space="preserve">yme and is the same as the drug </w:t>
      </w:r>
      <w:r w:rsidRPr="008203EF">
        <w:rPr>
          <w:rFonts w:ascii="Arial" w:hAnsi="Arial" w:cs="Arial"/>
          <w:sz w:val="18"/>
          <w:szCs w:val="18"/>
        </w:rPr>
        <w:t>from lecture.</w:t>
      </w:r>
    </w:p>
    <w:p w:rsidR="002361A6" w:rsidRDefault="00F32C94" w:rsidP="002B48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1A4A93E" wp14:editId="14FD7D4D">
            <wp:simplePos x="0" y="0"/>
            <wp:positionH relativeFrom="column">
              <wp:posOffset>5080</wp:posOffset>
            </wp:positionH>
            <wp:positionV relativeFrom="paragraph">
              <wp:posOffset>449580</wp:posOffset>
            </wp:positionV>
            <wp:extent cx="2940050" cy="5378450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1A6" w:rsidRPr="008203EF">
        <w:rPr>
          <w:rFonts w:ascii="Arial" w:hAnsi="Arial" w:cs="Arial"/>
          <w:sz w:val="18"/>
          <w:szCs w:val="18"/>
        </w:rPr>
        <w:t xml:space="preserve">The buttons labeled “Drug1”, “Drug2”, etc. will load the structure of the </w:t>
      </w:r>
      <w:r w:rsidR="002361A6" w:rsidRPr="008203EF">
        <w:rPr>
          <w:rFonts w:ascii="Arial" w:hAnsi="Arial" w:cs="Arial"/>
          <w:i/>
          <w:sz w:val="18"/>
          <w:szCs w:val="18"/>
        </w:rPr>
        <w:t>mutant</w:t>
      </w:r>
      <w:r w:rsidR="002361A6" w:rsidRPr="008203EF">
        <w:rPr>
          <w:rFonts w:ascii="Arial" w:hAnsi="Arial" w:cs="Arial"/>
          <w:sz w:val="18"/>
          <w:szCs w:val="18"/>
        </w:rPr>
        <w:t xml:space="preserve"> HIV protease with a different drug bound in the active site.</w:t>
      </w:r>
    </w:p>
    <w:p w:rsidR="005F7B73" w:rsidRDefault="00653318" w:rsidP="002B48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6F63DC" wp14:editId="1956BDD3">
            <wp:simplePos x="0" y="0"/>
            <wp:positionH relativeFrom="column">
              <wp:posOffset>2945130</wp:posOffset>
            </wp:positionH>
            <wp:positionV relativeFrom="paragraph">
              <wp:posOffset>178435</wp:posOffset>
            </wp:positionV>
            <wp:extent cx="3567430" cy="5378450"/>
            <wp:effectExtent l="0" t="0" r="0" b="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B73" w:rsidRPr="005F7B73" w:rsidRDefault="005F7B73" w:rsidP="002B48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04536" w:rsidRDefault="00904536" w:rsidP="002B48E3">
      <w:pPr>
        <w:spacing w:after="0" w:line="240" w:lineRule="auto"/>
      </w:pPr>
    </w:p>
    <w:sectPr w:rsidR="00904536" w:rsidSect="00653318">
      <w:pgSz w:w="11907" w:h="16839" w:code="9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06C"/>
    <w:multiLevelType w:val="hybridMultilevel"/>
    <w:tmpl w:val="7318C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4536"/>
    <w:rsid w:val="000176F1"/>
    <w:rsid w:val="00221791"/>
    <w:rsid w:val="00227668"/>
    <w:rsid w:val="002361A6"/>
    <w:rsid w:val="002B48E3"/>
    <w:rsid w:val="00426D6B"/>
    <w:rsid w:val="00454DA2"/>
    <w:rsid w:val="004A2914"/>
    <w:rsid w:val="005043DE"/>
    <w:rsid w:val="0052215F"/>
    <w:rsid w:val="00572109"/>
    <w:rsid w:val="005F7B73"/>
    <w:rsid w:val="006449A5"/>
    <w:rsid w:val="00653318"/>
    <w:rsid w:val="00721ED5"/>
    <w:rsid w:val="007B4EF6"/>
    <w:rsid w:val="00904536"/>
    <w:rsid w:val="009830E4"/>
    <w:rsid w:val="00984A08"/>
    <w:rsid w:val="009F370E"/>
    <w:rsid w:val="00AC3CD7"/>
    <w:rsid w:val="00B86BEC"/>
    <w:rsid w:val="00C07CAE"/>
    <w:rsid w:val="00C169AA"/>
    <w:rsid w:val="00DB1DDA"/>
    <w:rsid w:val="00E51080"/>
    <w:rsid w:val="00F32C94"/>
    <w:rsid w:val="00F35F38"/>
    <w:rsid w:val="00F5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1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le\Desktop\andrew_www\gdd_f2013\Pset\PS04\hiv_data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ule\Desktop\andrew_www\gdd_f2013\Pset\PS04\hiv_dat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Wild-Type (Val82) Protease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446062992125985"/>
          <c:y val="0.12725770389812388"/>
          <c:w val="0.73813751406074246"/>
          <c:h val="0.69234845644294463"/>
        </c:manualLayout>
      </c:layout>
      <c:scatterChart>
        <c:scatterStyle val="lineMarker"/>
        <c:varyColors val="0"/>
        <c:ser>
          <c:idx val="0"/>
          <c:order val="0"/>
          <c:tx>
            <c:v>No Inh [S] alone</c:v>
          </c:tx>
          <c:spPr>
            <a:ln>
              <a:prstDash val="dash"/>
            </a:ln>
          </c:spPr>
          <c:marker>
            <c:symbol val="none"/>
          </c:marker>
          <c:trendline>
            <c:spPr>
              <a:ln>
                <a:noFill/>
              </a:ln>
            </c:spPr>
            <c:trendlineType val="linear"/>
            <c:dispRSqr val="0"/>
            <c:dispEq val="1"/>
            <c:trendlineLbl>
              <c:layout>
                <c:manualLayout>
                  <c:x val="-3.0112178355733592E-2"/>
                  <c:y val="-2.4092655651969462E-2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sz="1400"/>
                  </a:pPr>
                  <a:endParaRPr lang="en-US"/>
                </a:p>
              </c:txPr>
            </c:trendlineLbl>
          </c:trendline>
          <c:xVal>
            <c:numRef>
              <c:f>Sheet1!$A$3:$A$4</c:f>
              <c:numCache>
                <c:formatCode>General</c:formatCode>
                <c:ptCount val="2"/>
                <c:pt idx="0">
                  <c:v>0</c:v>
                </c:pt>
                <c:pt idx="1">
                  <c:v>10</c:v>
                </c:pt>
              </c:numCache>
            </c:numRef>
          </c:xVal>
          <c:yVal>
            <c:numRef>
              <c:f>Sheet1!$B$3:$B$4</c:f>
              <c:numCache>
                <c:formatCode>General</c:formatCode>
                <c:ptCount val="2"/>
                <c:pt idx="0">
                  <c:v>0.2</c:v>
                </c:pt>
                <c:pt idx="1">
                  <c:v>2.2000000000000002</c:v>
                </c:pt>
              </c:numCache>
            </c:numRef>
          </c:yVal>
          <c:smooth val="0"/>
        </c:ser>
        <c:ser>
          <c:idx val="1"/>
          <c:order val="1"/>
          <c:tx>
            <c:v>[S]+Cyclohex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trendline>
            <c:trendlineType val="linear"/>
            <c:dispRSqr val="0"/>
            <c:dispEq val="1"/>
            <c:trendlineLbl>
              <c:layout>
                <c:manualLayout>
                  <c:x val="-0.12527587100009732"/>
                  <c:y val="9.5107031956435217E-2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sz="1400"/>
                  </a:pPr>
                  <a:endParaRPr lang="en-US"/>
                </a:p>
              </c:txPr>
            </c:trendlineLbl>
          </c:trendline>
          <c:xVal>
            <c:numRef>
              <c:f>Sheet1!$A$3:$A$4</c:f>
              <c:numCache>
                <c:formatCode>General</c:formatCode>
                <c:ptCount val="2"/>
                <c:pt idx="0">
                  <c:v>0</c:v>
                </c:pt>
                <c:pt idx="1">
                  <c:v>10</c:v>
                </c:pt>
              </c:numCache>
            </c:numRef>
          </c:xVal>
          <c:yVal>
            <c:numRef>
              <c:f>Sheet1!$C$3:$C$4</c:f>
              <c:numCache>
                <c:formatCode>General</c:formatCode>
                <c:ptCount val="2"/>
                <c:pt idx="0">
                  <c:v>0.2</c:v>
                </c:pt>
                <c:pt idx="1">
                  <c:v>10.199999999999999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108672"/>
        <c:axId val="46110592"/>
      </c:scatterChart>
      <c:valAx>
        <c:axId val="46108672"/>
        <c:scaling>
          <c:orientation val="minMax"/>
          <c:max val="10"/>
        </c:scaling>
        <c:delete val="0"/>
        <c:axPos val="b"/>
        <c:title>
          <c:tx>
            <c:rich>
              <a:bodyPr/>
              <a:lstStyle/>
              <a:p>
                <a:pPr>
                  <a:defRPr sz="1400"/>
                </a:pPr>
                <a:r>
                  <a:rPr lang="en-US" sz="1400"/>
                  <a:t>1/[S]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6110592"/>
        <c:crosses val="autoZero"/>
        <c:crossBetween val="midCat"/>
      </c:valAx>
      <c:valAx>
        <c:axId val="46110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US" sz="1400"/>
                  <a:t>1/rate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6108672"/>
        <c:crosses val="autoZero"/>
        <c:crossBetween val="midCat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15464381261024041"/>
          <c:y val="0.11910177894429864"/>
          <c:w val="0.52386610967507463"/>
          <c:h val="0.16308915263998708"/>
        </c:manualLayout>
      </c:layout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Mutant</a:t>
            </a:r>
            <a:r>
              <a:rPr lang="en-US" sz="1200" baseline="0"/>
              <a:t>  Protease</a:t>
            </a:r>
            <a:endParaRPr lang="en-US" sz="1200"/>
          </a:p>
        </c:rich>
      </c:tx>
      <c:layout>
        <c:manualLayout>
          <c:xMode val="edge"/>
          <c:yMode val="edge"/>
          <c:x val="1.7815628742985503E-2"/>
          <c:y val="1.416765053128689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789191611137689"/>
          <c:y val="0.24942124823857151"/>
          <c:w val="0.56972758248349031"/>
          <c:h val="0.63246901988491111"/>
        </c:manualLayout>
      </c:layout>
      <c:scatterChart>
        <c:scatterStyle val="lineMarker"/>
        <c:varyColors val="0"/>
        <c:ser>
          <c:idx val="0"/>
          <c:order val="0"/>
          <c:tx>
            <c:v>No Inh([S] alone)</c:v>
          </c:tx>
          <c:spPr>
            <a:ln>
              <a:prstDash val="dash"/>
            </a:ln>
          </c:spPr>
          <c:marker>
            <c:symbol val="none"/>
          </c:marker>
          <c:trendline>
            <c:spPr>
              <a:ln>
                <a:noFill/>
              </a:ln>
            </c:spPr>
            <c:trendlineType val="linear"/>
            <c:dispRSqr val="0"/>
            <c:dispEq val="1"/>
            <c:trendlineLbl>
              <c:layout>
                <c:manualLayout>
                  <c:x val="0.27057949335033832"/>
                  <c:y val="1.1482553154653076E-2"/>
                </c:manualLayout>
              </c:layout>
              <c:tx>
                <c:rich>
                  <a:bodyPr/>
                  <a:lstStyle/>
                  <a:p>
                    <a:pPr>
                      <a:defRPr sz="1200"/>
                    </a:pPr>
                    <a:r>
                      <a:rPr lang="en-US" sz="1200" baseline="0"/>
                      <a:t>y = 0.20x + 0.2</a:t>
                    </a:r>
                    <a:endParaRPr lang="en-US" sz="1200"/>
                  </a:p>
                </c:rich>
              </c:tx>
              <c:numFmt formatCode="General" sourceLinked="0"/>
            </c:trendlineLbl>
          </c:trendline>
          <c:xVal>
            <c:numRef>
              <c:f>Sheet1!$E$3:$E$4</c:f>
              <c:numCache>
                <c:formatCode>General</c:formatCode>
                <c:ptCount val="2"/>
                <c:pt idx="0">
                  <c:v>0</c:v>
                </c:pt>
                <c:pt idx="1">
                  <c:v>10</c:v>
                </c:pt>
              </c:numCache>
            </c:numRef>
          </c:xVal>
          <c:yVal>
            <c:numRef>
              <c:f>Sheet1!$F$3:$F$4</c:f>
              <c:numCache>
                <c:formatCode>General</c:formatCode>
                <c:ptCount val="2"/>
                <c:pt idx="0">
                  <c:v>0.2</c:v>
                </c:pt>
                <c:pt idx="1">
                  <c:v>2.2000000000000002</c:v>
                </c:pt>
              </c:numCache>
            </c:numRef>
          </c:yVal>
          <c:smooth val="0"/>
        </c:ser>
        <c:ser>
          <c:idx val="1"/>
          <c:order val="1"/>
          <c:tx>
            <c:v>Cyclohex drug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trendline>
            <c:trendlineType val="linear"/>
            <c:dispRSqr val="0"/>
            <c:dispEq val="1"/>
            <c:trendlineLbl>
              <c:layout>
                <c:manualLayout>
                  <c:x val="0.27030571386556179"/>
                  <c:y val="-1.5233976225708079E-4"/>
                </c:manualLayout>
              </c:layout>
              <c:tx>
                <c:rich>
                  <a:bodyPr/>
                  <a:lstStyle/>
                  <a:p>
                    <a:pPr>
                      <a:defRPr sz="1200"/>
                    </a:pPr>
                    <a:r>
                      <a:rPr lang="en-US" sz="1200" baseline="0"/>
                      <a:t>y = 0.36x + 0.2</a:t>
                    </a:r>
                    <a:endParaRPr lang="en-US" sz="1200"/>
                  </a:p>
                </c:rich>
              </c:tx>
              <c:numFmt formatCode="General" sourceLinked="0"/>
              <c:spPr>
                <a:solidFill>
                  <a:schemeClr val="bg1"/>
                </a:solidFill>
              </c:spPr>
            </c:trendlineLbl>
          </c:trendline>
          <c:xVal>
            <c:numRef>
              <c:f>Sheet1!$E$3:$E$4</c:f>
              <c:numCache>
                <c:formatCode>General</c:formatCode>
                <c:ptCount val="2"/>
                <c:pt idx="0">
                  <c:v>0</c:v>
                </c:pt>
                <c:pt idx="1">
                  <c:v>10</c:v>
                </c:pt>
              </c:numCache>
            </c:numRef>
          </c:xVal>
          <c:yVal>
            <c:numRef>
              <c:f>Sheet1!$G$3:$G$4</c:f>
              <c:numCache>
                <c:formatCode>General</c:formatCode>
                <c:ptCount val="2"/>
                <c:pt idx="0">
                  <c:v>0.2</c:v>
                </c:pt>
                <c:pt idx="1">
                  <c:v>3.8</c:v>
                </c:pt>
              </c:numCache>
            </c:numRef>
          </c:yVal>
          <c:smooth val="0"/>
        </c:ser>
        <c:ser>
          <c:idx val="2"/>
          <c:order val="2"/>
          <c:tx>
            <c:v>Drug 1</c:v>
          </c:tx>
          <c:spPr>
            <a:ln>
              <a:solidFill>
                <a:srgbClr val="09E523"/>
              </a:solidFill>
              <a:prstDash val="sysDot"/>
            </a:ln>
          </c:spPr>
          <c:marker>
            <c:symbol val="none"/>
          </c:marker>
          <c:trendline>
            <c:spPr>
              <a:ln>
                <a:noFill/>
              </a:ln>
            </c:spPr>
            <c:trendlineType val="linear"/>
            <c:dispRSqr val="0"/>
            <c:dispEq val="1"/>
            <c:trendlineLbl>
              <c:layout>
                <c:manualLayout>
                  <c:x val="0.18553527187907637"/>
                  <c:y val="7.0121475905658547E-3"/>
                </c:manualLayout>
              </c:layout>
              <c:tx>
                <c:rich>
                  <a:bodyPr/>
                  <a:lstStyle/>
                  <a:p>
                    <a:pPr>
                      <a:defRPr sz="1200"/>
                    </a:pPr>
                    <a:r>
                      <a:rPr lang="en-US" sz="1200" baseline="0"/>
                      <a:t>y = x + 0.2</a:t>
                    </a:r>
                    <a:endParaRPr lang="en-US" sz="1200"/>
                  </a:p>
                </c:rich>
              </c:tx>
              <c:numFmt formatCode="General" sourceLinked="0"/>
            </c:trendlineLbl>
          </c:trendline>
          <c:xVal>
            <c:numRef>
              <c:f>Sheet1!$E$3:$E$4</c:f>
              <c:numCache>
                <c:formatCode>General</c:formatCode>
                <c:ptCount val="2"/>
                <c:pt idx="0">
                  <c:v>0</c:v>
                </c:pt>
                <c:pt idx="1">
                  <c:v>10</c:v>
                </c:pt>
              </c:numCache>
            </c:numRef>
          </c:xVal>
          <c:yVal>
            <c:numRef>
              <c:f>Sheet1!$H$3:$H$4</c:f>
              <c:numCache>
                <c:formatCode>General</c:formatCode>
                <c:ptCount val="2"/>
                <c:pt idx="0">
                  <c:v>0.2</c:v>
                </c:pt>
                <c:pt idx="1">
                  <c:v>10.199999999999999</c:v>
                </c:pt>
              </c:numCache>
            </c:numRef>
          </c:yVal>
          <c:smooth val="0"/>
        </c:ser>
        <c:ser>
          <c:idx val="3"/>
          <c:order val="3"/>
          <c:tx>
            <c:v>Drug 2</c:v>
          </c:tx>
          <c:spPr>
            <a:ln>
              <a:prstDash val="sysDash"/>
            </a:ln>
          </c:spPr>
          <c:marker>
            <c:symbol val="none"/>
          </c:marker>
          <c:trendline>
            <c:spPr>
              <a:ln>
                <a:noFill/>
              </a:ln>
            </c:spPr>
            <c:trendlineType val="linear"/>
            <c:dispRSqr val="0"/>
            <c:dispEq val="1"/>
            <c:trendlineLbl>
              <c:layout>
                <c:manualLayout>
                  <c:x val="0.27057949335033832"/>
                  <c:y val="-2.223058530778264E-2"/>
                </c:manualLayout>
              </c:layout>
              <c:tx>
                <c:rich>
                  <a:bodyPr/>
                  <a:lstStyle/>
                  <a:p>
                    <a:pPr>
                      <a:defRPr sz="1200"/>
                    </a:pPr>
                    <a:r>
                      <a:rPr lang="en-US" sz="1200" baseline="0"/>
                      <a:t>y = 0.50x + 0.2</a:t>
                    </a:r>
                    <a:endParaRPr lang="en-US" sz="1200"/>
                  </a:p>
                </c:rich>
              </c:tx>
              <c:numFmt formatCode="General" sourceLinked="0"/>
            </c:trendlineLbl>
          </c:trendline>
          <c:xVal>
            <c:numRef>
              <c:f>Sheet1!$E$3:$E$4</c:f>
              <c:numCache>
                <c:formatCode>General</c:formatCode>
                <c:ptCount val="2"/>
                <c:pt idx="0">
                  <c:v>0</c:v>
                </c:pt>
                <c:pt idx="1">
                  <c:v>10</c:v>
                </c:pt>
              </c:numCache>
            </c:numRef>
          </c:xVal>
          <c:yVal>
            <c:numRef>
              <c:f>Sheet1!$I$3:$I$4</c:f>
              <c:numCache>
                <c:formatCode>General</c:formatCode>
                <c:ptCount val="2"/>
                <c:pt idx="0">
                  <c:v>0.2</c:v>
                </c:pt>
                <c:pt idx="1">
                  <c:v>5.2</c:v>
                </c:pt>
              </c:numCache>
            </c:numRef>
          </c:yVal>
          <c:smooth val="0"/>
        </c:ser>
        <c:ser>
          <c:idx val="4"/>
          <c:order val="4"/>
          <c:tx>
            <c:v>Drug 3</c:v>
          </c:tx>
          <c:spPr>
            <a:ln>
              <a:solidFill>
                <a:srgbClr val="FF0000"/>
              </a:solidFill>
              <a:prstDash val="lgDash"/>
            </a:ln>
          </c:spPr>
          <c:marker>
            <c:symbol val="none"/>
          </c:marker>
          <c:trendline>
            <c:spPr>
              <a:ln>
                <a:noFill/>
              </a:ln>
            </c:spPr>
            <c:trendlineType val="linear"/>
            <c:dispRSqr val="0"/>
            <c:dispEq val="1"/>
            <c:trendlineLbl>
              <c:layout>
                <c:manualLayout>
                  <c:x val="0.27057949335033832"/>
                  <c:y val="-4.2294104409822007E-3"/>
                </c:manualLayout>
              </c:layout>
              <c:tx>
                <c:rich>
                  <a:bodyPr/>
                  <a:lstStyle/>
                  <a:p>
                    <a:pPr>
                      <a:defRPr sz="1200"/>
                    </a:pPr>
                    <a:r>
                      <a:rPr lang="en-US" sz="1200" baseline="0"/>
                      <a:t>y = 0.25x + 0.2</a:t>
                    </a:r>
                    <a:endParaRPr lang="en-US" sz="1200"/>
                  </a:p>
                </c:rich>
              </c:tx>
              <c:numFmt formatCode="General" sourceLinked="0"/>
            </c:trendlineLbl>
          </c:trendline>
          <c:xVal>
            <c:numRef>
              <c:f>Sheet1!$E$3:$E$4</c:f>
              <c:numCache>
                <c:formatCode>General</c:formatCode>
                <c:ptCount val="2"/>
                <c:pt idx="0">
                  <c:v>0</c:v>
                </c:pt>
                <c:pt idx="1">
                  <c:v>10</c:v>
                </c:pt>
              </c:numCache>
            </c:numRef>
          </c:xVal>
          <c:yVal>
            <c:numRef>
              <c:f>Sheet1!$J$3:$J$4</c:f>
              <c:numCache>
                <c:formatCode>General</c:formatCode>
                <c:ptCount val="2"/>
                <c:pt idx="0">
                  <c:v>0.2</c:v>
                </c:pt>
                <c:pt idx="1">
                  <c:v>2.7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447104"/>
        <c:axId val="50502272"/>
      </c:scatterChart>
      <c:valAx>
        <c:axId val="50447104"/>
        <c:scaling>
          <c:orientation val="minMax"/>
          <c:max val="10"/>
        </c:scaling>
        <c:delete val="0"/>
        <c:axPos val="b"/>
        <c:title>
          <c:tx>
            <c:rich>
              <a:bodyPr/>
              <a:lstStyle/>
              <a:p>
                <a:pPr>
                  <a:defRPr sz="1400"/>
                </a:pPr>
                <a:r>
                  <a:rPr lang="en-US" sz="1400"/>
                  <a:t>1/[S]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0502272"/>
        <c:crosses val="autoZero"/>
        <c:crossBetween val="midCat"/>
      </c:valAx>
      <c:valAx>
        <c:axId val="50502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US" sz="1400"/>
                  <a:t>1/rate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0447104"/>
        <c:crosses val="autoZero"/>
        <c:crossBetween val="midCat"/>
      </c:valAx>
    </c:plotArea>
    <c:legend>
      <c:legendPos val="t"/>
      <c:legendEntry>
        <c:idx val="0"/>
        <c:txPr>
          <a:bodyPr/>
          <a:lstStyle/>
          <a:p>
            <a:pPr>
              <a:defRPr sz="1050"/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050"/>
            </a:pPr>
            <a:endParaRPr lang="en-US"/>
          </a:p>
        </c:txPr>
      </c:legendEntry>
      <c:legendEntry>
        <c:idx val="2"/>
        <c:txPr>
          <a:bodyPr/>
          <a:lstStyle/>
          <a:p>
            <a:pPr>
              <a:defRPr sz="1050"/>
            </a:pPr>
            <a:endParaRPr lang="en-US"/>
          </a:p>
        </c:txPr>
      </c:legendEntry>
      <c:legendEntry>
        <c:idx val="3"/>
        <c:txPr>
          <a:bodyPr/>
          <a:lstStyle/>
          <a:p>
            <a:pPr>
              <a:defRPr sz="1050"/>
            </a:pPr>
            <a:endParaRPr lang="en-US"/>
          </a:p>
        </c:txPr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36088441941418875"/>
          <c:y val="1.5626435125361392E-2"/>
          <c:w val="0.61994644338501159"/>
          <c:h val="0.23371854857362609"/>
        </c:manualLayout>
      </c:layout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0.6557</cdr:x>
      <cdr:y>0.37913</cdr:y>
    </cdr:from>
    <cdr:to>
      <cdr:x>0.72654</cdr:x>
      <cdr:y>0.43016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20346" y="2067071"/>
          <a:ext cx="261489" cy="27819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 b="1"/>
            <a:t>1</a:t>
          </a:r>
        </a:p>
      </cdr:txBody>
    </cdr:sp>
  </cdr:relSizeAnchor>
  <cdr:relSizeAnchor xmlns:cdr="http://schemas.openxmlformats.org/drawingml/2006/chartDrawing">
    <cdr:from>
      <cdr:x>0.67651</cdr:x>
      <cdr:y>0.59084</cdr:y>
    </cdr:from>
    <cdr:to>
      <cdr:x>0.73901</cdr:x>
      <cdr:y>0.64858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97171" y="3221329"/>
          <a:ext cx="230704" cy="31480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 b="1"/>
            <a:t>2</a:t>
          </a:r>
        </a:p>
      </cdr:txBody>
    </cdr:sp>
  </cdr:relSizeAnchor>
  <cdr:relSizeAnchor xmlns:cdr="http://schemas.openxmlformats.org/drawingml/2006/chartDrawing">
    <cdr:from>
      <cdr:x>0.66545</cdr:x>
      <cdr:y>0.71398</cdr:y>
    </cdr:from>
    <cdr:to>
      <cdr:x>0.73629</cdr:x>
      <cdr:y>0.76714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456335" y="3892700"/>
          <a:ext cx="261489" cy="2898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400" b="1"/>
            <a:t>3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rule</dc:creator>
  <cp:lastModifiedBy>Gordon Rule</cp:lastModifiedBy>
  <cp:revision>10</cp:revision>
  <cp:lastPrinted>2015-09-29T19:00:00Z</cp:lastPrinted>
  <dcterms:created xsi:type="dcterms:W3CDTF">2013-09-20T06:50:00Z</dcterms:created>
  <dcterms:modified xsi:type="dcterms:W3CDTF">2015-09-29T19:00:00Z</dcterms:modified>
</cp:coreProperties>
</file>