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0F83" w:rsidRDefault="00493082">
      <w:r>
        <w:t>Module: Andrew Printing</w:t>
      </w:r>
    </w:p>
    <w:p w:rsidR="008C0F83" w:rsidRPr="00904FB2" w:rsidRDefault="008C0F83" w:rsidP="008C0F83">
      <w:r>
        <w:t>Objectives:</w:t>
      </w:r>
      <w:r>
        <w:br/>
      </w:r>
      <w:r w:rsidRPr="00904FB2">
        <w:t>Print to an Andrew print</w:t>
      </w:r>
      <w:r>
        <w:t xml:space="preserve"> queue from a Cluster machine or personal computer</w:t>
      </w:r>
    </w:p>
    <w:p w:rsidR="008C0F83" w:rsidRPr="00904FB2" w:rsidRDefault="008C0F83" w:rsidP="008C0F83">
      <w:pPr>
        <w:numPr>
          <w:ilvl w:val="0"/>
          <w:numId w:val="3"/>
        </w:numPr>
        <w:tabs>
          <w:tab w:val="clear" w:pos="360"/>
          <w:tab w:val="num" w:pos="720"/>
        </w:tabs>
        <w:spacing w:after="0"/>
        <w:ind w:left="720" w:hanging="360"/>
      </w:pPr>
      <w:r w:rsidRPr="00904FB2">
        <w:t xml:space="preserve">Monitor </w:t>
      </w:r>
      <w:r w:rsidR="00143F30">
        <w:t xml:space="preserve">your </w:t>
      </w:r>
      <w:r w:rsidRPr="00904FB2">
        <w:t>print quota</w:t>
      </w:r>
    </w:p>
    <w:p w:rsidR="008C0F83" w:rsidRPr="00904FB2" w:rsidRDefault="008C0F83" w:rsidP="008C0F83">
      <w:pPr>
        <w:numPr>
          <w:ilvl w:val="0"/>
          <w:numId w:val="3"/>
        </w:numPr>
        <w:tabs>
          <w:tab w:val="clear" w:pos="360"/>
          <w:tab w:val="num" w:pos="720"/>
        </w:tabs>
        <w:spacing w:after="0"/>
        <w:ind w:left="720" w:hanging="360"/>
      </w:pPr>
      <w:r w:rsidRPr="00904FB2">
        <w:t>Select an appropriate print queue for common print jobs</w:t>
      </w:r>
    </w:p>
    <w:p w:rsidR="008C0F83" w:rsidRDefault="008C0F83" w:rsidP="008C0F83">
      <w:pPr>
        <w:numPr>
          <w:ilvl w:val="0"/>
          <w:numId w:val="3"/>
        </w:numPr>
        <w:tabs>
          <w:tab w:val="clear" w:pos="360"/>
          <w:tab w:val="num" w:pos="720"/>
        </w:tabs>
        <w:spacing w:after="0"/>
        <w:ind w:left="720" w:hanging="360"/>
      </w:pPr>
      <w:r>
        <w:t>Configure a personal computer for printing to an Andrew print queue</w:t>
      </w:r>
    </w:p>
    <w:p w:rsidR="00493082" w:rsidRDefault="00493082"/>
    <w:p w:rsidR="00A622EE" w:rsidRDefault="00493082" w:rsidP="00B55DA4">
      <w:pPr>
        <w:pStyle w:val="Heading3"/>
      </w:pPr>
      <w:r>
        <w:t>Introduction to Andrew Printing</w:t>
      </w:r>
    </w:p>
    <w:p w:rsidR="00A622EE" w:rsidRDefault="00493082">
      <w:proofErr w:type="spellStart"/>
      <w:r>
        <w:t>Anshu</w:t>
      </w:r>
      <w:proofErr w:type="spellEnd"/>
      <w:r w:rsidR="00A622EE">
        <w:t xml:space="preserve"> </w:t>
      </w:r>
      <w:r>
        <w:t>has just put the finishing touches on his mid-semester biology project—he’s written a report for his professor, created a set of power-point slides to present this report to his class, and designed a color poster that he’ll use to support the presentation.  His biology class is in a few hours, and he has other classes in the meantime.  But before class, he needs to get print-outs of his final work—the report for his professor, slide handouts for his peers and a large, color poster</w:t>
      </w:r>
      <w:r w:rsidR="008C0F83">
        <w:t>—but he doesn’t have his own printer</w:t>
      </w:r>
      <w:r>
        <w:t>.  How can he get these things printed?  Is there a convenient way to print out all these items in time for his class?  Does he have to pay for any of this?</w:t>
      </w:r>
    </w:p>
    <w:p w:rsidR="001F7BBE" w:rsidRDefault="008C0F83">
      <w:r>
        <w:t xml:space="preserve">To support students who don’t have access to their own printer, the University maintains a number of public printers with different capabilities in locations across the university.  Students are able to print to and retrieve a limited </w:t>
      </w:r>
      <w:r w:rsidR="00096CCA">
        <w:t xml:space="preserve">number of documents from University and personal machines.  Collectively Carnegie Mellon’s central printing service is known as Andrew Printing. </w:t>
      </w:r>
      <w:r w:rsidR="0053286A">
        <w:t xml:space="preserve"> If you need to print a paper for your class, </w:t>
      </w:r>
      <w:r w:rsidR="001F7BBE">
        <w:t>print something in a larger format, or in color, you can accomplish all of these things using the Andrew Printing system.</w:t>
      </w:r>
    </w:p>
    <w:p w:rsidR="00B55DA4" w:rsidRDefault="001F7BBE" w:rsidP="00096CCA">
      <w:r>
        <w:t xml:space="preserve">In this module </w:t>
      </w:r>
      <w:r w:rsidR="00096CCA">
        <w:t xml:space="preserve">you’ll also learn what services are available to you as part of your Andrew Printing quota and how to track your quota usage.  You’ll also learn how to select an appropriate printer and print to it using a university or personal computer.  Finally, you’ll learn how to locate printers that provide specific services, </w:t>
      </w:r>
      <w:r w:rsidR="00143F30">
        <w:t>including</w:t>
      </w:r>
      <w:r w:rsidR="00096CCA">
        <w:t xml:space="preserve"> extended pick-up time, color and large format printing.</w:t>
      </w:r>
      <w:r w:rsidR="00633A96">
        <w:t xml:space="preserve"> </w:t>
      </w:r>
    </w:p>
    <w:p w:rsidR="00096CCA" w:rsidRDefault="00096CCA" w:rsidP="00096CCA"/>
    <w:p w:rsidR="00770BD2" w:rsidRDefault="008C0F83" w:rsidP="00B55DA4">
      <w:pPr>
        <w:pStyle w:val="Heading3"/>
      </w:pPr>
      <w:r>
        <w:t>Andrew Printing Quota</w:t>
      </w:r>
    </w:p>
    <w:p w:rsidR="007F0AD7" w:rsidRDefault="00143F30">
      <w:r>
        <w:t xml:space="preserve">Like other shared resources, </w:t>
      </w:r>
      <w:r w:rsidR="00770BD2">
        <w:t xml:space="preserve">Andrew Printing is on the quota system.  </w:t>
      </w:r>
      <w:r>
        <w:t>Printing is tracked on a per-page basis, with specific costs associated different types of printing.  Each</w:t>
      </w:r>
      <w:r w:rsidR="00770BD2">
        <w:t xml:space="preserve"> user starts</w:t>
      </w:r>
      <w:r w:rsidR="00DE6C05">
        <w:t xml:space="preserve"> </w:t>
      </w:r>
      <w:r w:rsidR="00DE6C05" w:rsidRPr="009526F1">
        <w:rPr>
          <w:rFonts w:ascii="Calibri" w:hAnsi="Calibri"/>
        </w:rPr>
        <w:t xml:space="preserve">the beginning of each semester with an allocation </w:t>
      </w:r>
      <w:r w:rsidR="00DE6C05">
        <w:rPr>
          <w:rFonts w:ascii="Calibri" w:hAnsi="Calibri"/>
        </w:rPr>
        <w:t>of $40</w:t>
      </w:r>
      <w:r w:rsidR="00F7270E">
        <w:rPr>
          <w:rFonts w:ascii="Calibri" w:hAnsi="Calibri"/>
        </w:rPr>
        <w:t>.00</w:t>
      </w:r>
      <w:r w:rsidR="00DE6C05">
        <w:rPr>
          <w:rFonts w:ascii="Calibri" w:hAnsi="Calibri"/>
        </w:rPr>
        <w:t xml:space="preserve"> per semester</w:t>
      </w:r>
      <w:r>
        <w:rPr>
          <w:rFonts w:ascii="Calibri" w:hAnsi="Calibri"/>
        </w:rPr>
        <w:t>;</w:t>
      </w:r>
      <w:r w:rsidR="00DE6C05">
        <w:rPr>
          <w:rFonts w:ascii="Calibri" w:hAnsi="Calibri"/>
        </w:rPr>
        <w:t xml:space="preserve"> </w:t>
      </w:r>
      <w:r>
        <w:rPr>
          <w:rFonts w:ascii="Calibri" w:hAnsi="Calibri"/>
        </w:rPr>
        <w:t xml:space="preserve">you are able to use your quota to create whatever </w:t>
      </w:r>
      <w:proofErr w:type="gramStart"/>
      <w:r>
        <w:rPr>
          <w:rFonts w:ascii="Calibri" w:hAnsi="Calibri"/>
        </w:rPr>
        <w:t>print-outs</w:t>
      </w:r>
      <w:proofErr w:type="gramEnd"/>
      <w:r>
        <w:rPr>
          <w:rFonts w:ascii="Calibri" w:hAnsi="Calibri"/>
        </w:rPr>
        <w:t xml:space="preserve"> best suit your needs</w:t>
      </w:r>
      <w:r w:rsidR="00DE6C05" w:rsidRPr="009526F1">
        <w:rPr>
          <w:rFonts w:ascii="Calibri" w:hAnsi="Calibri"/>
        </w:rPr>
        <w:t>.</w:t>
      </w:r>
      <w:r w:rsidR="007F0AD7">
        <w:t xml:space="preserve">  </w:t>
      </w:r>
    </w:p>
    <w:p w:rsidR="007F0AD7" w:rsidRPr="00920292" w:rsidRDefault="007F0AD7">
      <w:pPr>
        <w:rPr>
          <w:rFonts w:ascii="Calibri" w:hAnsi="Calibri"/>
        </w:rPr>
      </w:pPr>
      <w:r>
        <w:t>It costs 5 cents per p</w:t>
      </w:r>
      <w:r w:rsidR="00143F30">
        <w:t>age to print a single or double-</w:t>
      </w:r>
      <w:r>
        <w:t>sided black and white document</w:t>
      </w:r>
      <w:r w:rsidR="00143F30">
        <w:t xml:space="preserve"> on letter-sized paper</w:t>
      </w:r>
      <w:r>
        <w:t xml:space="preserve">.  </w:t>
      </w:r>
      <w:r w:rsidR="00143F30">
        <w:t>Large format and color prints have an additional cost—10 cents for larger, tabloid-sized paper and 70-1.50 for color printing (depending on the specific size and printer that you choose)</w:t>
      </w:r>
      <w:r w:rsidR="00633A96" w:rsidRPr="00DE6C05">
        <w:rPr>
          <w:rFonts w:ascii="Calibri" w:hAnsi="Calibri"/>
        </w:rPr>
        <w:t xml:space="preserve"> a page.</w:t>
      </w:r>
    </w:p>
    <w:tbl>
      <w:tblPr>
        <w:tblW w:w="9960" w:type="dxa"/>
        <w:tblBorders>
          <w:top w:val="single" w:sz="8" w:space="0" w:color="808080"/>
          <w:left w:val="single" w:sz="8" w:space="0" w:color="808080"/>
          <w:right w:val="single" w:sz="8" w:space="0" w:color="808080"/>
        </w:tblBorders>
        <w:tblLayout w:type="fixed"/>
        <w:tblLook w:val="0000"/>
      </w:tblPr>
      <w:tblGrid>
        <w:gridCol w:w="7480"/>
        <w:gridCol w:w="2480"/>
      </w:tblGrid>
      <w:tr w:rsidR="007F0AD7" w:rsidRPr="007F0AD7">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rPr>
                <w:rFonts w:ascii="Verdana" w:hAnsi="Verdana" w:cs="Verdana"/>
                <w:sz w:val="22"/>
                <w:szCs w:val="22"/>
              </w:rPr>
            </w:pP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b/>
                <w:bCs/>
                <w:sz w:val="22"/>
                <w:szCs w:val="22"/>
              </w:rPr>
              <w:t>Price per sheet</w:t>
            </w:r>
          </w:p>
        </w:tc>
      </w:tr>
      <w:tr w:rsidR="007F0AD7" w:rsidRPr="007F0AD7">
        <w:tblPrEx>
          <w:tblBorders>
            <w:top w:val="none" w:sz="0" w:space="0" w:color="auto"/>
          </w:tblBorders>
        </w:tblPrEx>
        <w:tc>
          <w:tcPr>
            <w:tcW w:w="9800" w:type="dxa"/>
            <w:gridSpan w:val="2"/>
            <w:tcBorders>
              <w:top w:val="single" w:sz="8" w:space="0" w:color="808080"/>
              <w:bottom w:val="single" w:sz="8" w:space="0" w:color="808080"/>
            </w:tcBorders>
            <w:shd w:val="clear" w:color="auto" w:fill="CCCCCC"/>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b/>
                <w:bCs/>
                <w:sz w:val="22"/>
                <w:szCs w:val="22"/>
              </w:rPr>
              <w:t>Letter size paper</w:t>
            </w:r>
          </w:p>
        </w:tc>
      </w:tr>
      <w:tr w:rsidR="007F0AD7" w:rsidRPr="007F0AD7">
        <w:tblPrEx>
          <w:tblBorders>
            <w:top w:val="none" w:sz="0" w:space="0" w:color="auto"/>
          </w:tblBorders>
        </w:tblPrEx>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bottom"/>
          </w:tcPr>
          <w:p w:rsidR="007F0AD7" w:rsidRPr="007F0AD7" w:rsidRDefault="007F0AD7" w:rsidP="00143F30">
            <w:pPr>
              <w:widowControl w:val="0"/>
              <w:autoSpaceDE w:val="0"/>
              <w:autoSpaceDN w:val="0"/>
              <w:adjustRightInd w:val="0"/>
              <w:spacing w:after="0"/>
              <w:rPr>
                <w:rFonts w:ascii="Verdana" w:hAnsi="Verdana" w:cs="Verdana"/>
                <w:sz w:val="22"/>
                <w:szCs w:val="22"/>
              </w:rPr>
            </w:pPr>
            <w:r w:rsidRPr="007F0AD7">
              <w:rPr>
                <w:rFonts w:ascii="Verdana" w:hAnsi="Verdana" w:cs="Verdana"/>
                <w:sz w:val="22"/>
                <w:szCs w:val="22"/>
              </w:rPr>
              <w:t xml:space="preserve">Black &amp; White </w:t>
            </w:r>
            <w:r w:rsidR="00143F30">
              <w:rPr>
                <w:rFonts w:ascii="Verdana" w:hAnsi="Verdana" w:cs="Verdana"/>
                <w:sz w:val="22"/>
                <w:szCs w:val="22"/>
              </w:rPr>
              <w:t>–</w:t>
            </w:r>
            <w:r w:rsidRPr="007F0AD7">
              <w:rPr>
                <w:rFonts w:ascii="Verdana" w:hAnsi="Verdana" w:cs="Verdana"/>
                <w:sz w:val="22"/>
                <w:szCs w:val="22"/>
              </w:rPr>
              <w:t xml:space="preserve"> </w:t>
            </w:r>
            <w:r w:rsidR="00143F30">
              <w:rPr>
                <w:rFonts w:ascii="Verdana" w:hAnsi="Verdana" w:cs="Verdana"/>
                <w:sz w:val="22"/>
                <w:szCs w:val="22"/>
              </w:rPr>
              <w:t>single- or double-sided</w:t>
            </w: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bottom"/>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sz w:val="22"/>
                <w:szCs w:val="22"/>
              </w:rPr>
              <w:t>$0.05</w:t>
            </w:r>
          </w:p>
        </w:tc>
      </w:tr>
      <w:tr w:rsidR="007F0AD7" w:rsidRPr="007F0AD7">
        <w:tblPrEx>
          <w:tblBorders>
            <w:top w:val="none" w:sz="0" w:space="0" w:color="auto"/>
          </w:tblBorders>
        </w:tblPrEx>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bottom"/>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sz w:val="22"/>
                <w:szCs w:val="22"/>
              </w:rPr>
              <w:t xml:space="preserve">Color - </w:t>
            </w:r>
            <w:r w:rsidR="00143F30">
              <w:rPr>
                <w:rFonts w:ascii="Verdana" w:hAnsi="Verdana" w:cs="Verdana"/>
                <w:sz w:val="22"/>
                <w:szCs w:val="22"/>
              </w:rPr>
              <w:t>single- or double-sided</w:t>
            </w:r>
            <w:r w:rsidR="00143F30" w:rsidRPr="007F0AD7">
              <w:rPr>
                <w:rFonts w:ascii="Verdana" w:hAnsi="Verdana" w:cs="Verdana"/>
                <w:sz w:val="22"/>
                <w:szCs w:val="22"/>
              </w:rPr>
              <w:t xml:space="preserve"> </w:t>
            </w:r>
            <w:r w:rsidRPr="007F0AD7">
              <w:rPr>
                <w:rFonts w:ascii="Verdana" w:hAnsi="Verdana" w:cs="Verdana"/>
                <w:sz w:val="22"/>
                <w:szCs w:val="22"/>
              </w:rPr>
              <w:t>(at Hunt Library 4th floor)</w:t>
            </w: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bottom"/>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sz w:val="22"/>
                <w:szCs w:val="22"/>
              </w:rPr>
              <w:t>$0.70</w:t>
            </w:r>
          </w:p>
        </w:tc>
      </w:tr>
      <w:tr w:rsidR="007F0AD7" w:rsidRPr="007F0AD7">
        <w:tblPrEx>
          <w:tblBorders>
            <w:top w:val="none" w:sz="0" w:space="0" w:color="auto"/>
          </w:tblBorders>
        </w:tblPrEx>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bottom"/>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sz w:val="22"/>
                <w:szCs w:val="22"/>
              </w:rPr>
              <w:t xml:space="preserve">Color - </w:t>
            </w:r>
            <w:r w:rsidR="00143F30">
              <w:rPr>
                <w:rFonts w:ascii="Verdana" w:hAnsi="Verdana" w:cs="Verdana"/>
                <w:sz w:val="22"/>
                <w:szCs w:val="22"/>
              </w:rPr>
              <w:t>single- or double-sided</w:t>
            </w:r>
            <w:r w:rsidR="00143F30" w:rsidRPr="007F0AD7">
              <w:rPr>
                <w:rFonts w:ascii="Verdana" w:hAnsi="Verdana" w:cs="Verdana"/>
                <w:sz w:val="22"/>
                <w:szCs w:val="22"/>
              </w:rPr>
              <w:t xml:space="preserve"> </w:t>
            </w:r>
            <w:r w:rsidRPr="007F0AD7">
              <w:rPr>
                <w:rFonts w:ascii="Verdana" w:hAnsi="Verdana" w:cs="Verdana"/>
                <w:sz w:val="22"/>
                <w:szCs w:val="22"/>
              </w:rPr>
              <w:t>(at CFA Cluster)</w:t>
            </w: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bottom"/>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sz w:val="22"/>
                <w:szCs w:val="22"/>
              </w:rPr>
              <w:t>$0.75</w:t>
            </w:r>
          </w:p>
        </w:tc>
      </w:tr>
      <w:tr w:rsidR="007F0AD7" w:rsidRPr="007F0AD7">
        <w:tblPrEx>
          <w:tblBorders>
            <w:top w:val="none" w:sz="0" w:space="0" w:color="auto"/>
          </w:tblBorders>
        </w:tblPrEx>
        <w:tc>
          <w:tcPr>
            <w:tcW w:w="9800" w:type="dxa"/>
            <w:gridSpan w:val="2"/>
            <w:tcBorders>
              <w:top w:val="single" w:sz="8" w:space="0" w:color="808080"/>
              <w:bottom w:val="single" w:sz="8" w:space="0" w:color="808080"/>
            </w:tcBorders>
            <w:shd w:val="clear" w:color="auto" w:fill="CCCCCC"/>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b/>
                <w:bCs/>
                <w:sz w:val="22"/>
                <w:szCs w:val="22"/>
              </w:rPr>
              <w:t>Tabloid paper (11x17)</w:t>
            </w:r>
          </w:p>
        </w:tc>
      </w:tr>
      <w:tr w:rsidR="007F0AD7" w:rsidRPr="007F0AD7">
        <w:tblPrEx>
          <w:tblBorders>
            <w:top w:val="none" w:sz="0" w:space="0" w:color="auto"/>
          </w:tblBorders>
        </w:tblPrEx>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sz w:val="22"/>
                <w:szCs w:val="22"/>
              </w:rPr>
              <w:t xml:space="preserve">Black &amp; White - </w:t>
            </w:r>
            <w:r w:rsidR="00143F30">
              <w:rPr>
                <w:rFonts w:ascii="Verdana" w:hAnsi="Verdana" w:cs="Verdana"/>
                <w:sz w:val="22"/>
                <w:szCs w:val="22"/>
              </w:rPr>
              <w:t>single- or double-sided</w:t>
            </w: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sz w:val="22"/>
                <w:szCs w:val="22"/>
              </w:rPr>
              <w:t>$0.10</w:t>
            </w:r>
          </w:p>
        </w:tc>
      </w:tr>
      <w:tr w:rsidR="007F0AD7" w:rsidRPr="007F0AD7">
        <w:tblPrEx>
          <w:tblBorders>
            <w:top w:val="none" w:sz="0" w:space="0" w:color="auto"/>
            <w:bottom w:val="single" w:sz="8" w:space="0" w:color="808080"/>
          </w:tblBorders>
        </w:tblPrEx>
        <w:tc>
          <w:tcPr>
            <w:tcW w:w="7360" w:type="dxa"/>
            <w:tcBorders>
              <w:top w:val="single" w:sz="8" w:space="0" w:color="808080"/>
              <w:bottom w:val="single" w:sz="8" w:space="0" w:color="808080"/>
              <w:right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rPr>
                <w:rFonts w:ascii="Verdana" w:hAnsi="Verdana" w:cs="Verdana"/>
                <w:sz w:val="22"/>
                <w:szCs w:val="22"/>
              </w:rPr>
            </w:pPr>
            <w:r w:rsidRPr="007F0AD7">
              <w:rPr>
                <w:rFonts w:ascii="Verdana" w:hAnsi="Verdana" w:cs="Verdana"/>
                <w:sz w:val="22"/>
                <w:szCs w:val="22"/>
              </w:rPr>
              <w:t xml:space="preserve">Color - </w:t>
            </w:r>
            <w:r w:rsidR="00143F30">
              <w:rPr>
                <w:rFonts w:ascii="Verdana" w:hAnsi="Verdana" w:cs="Verdana"/>
                <w:sz w:val="22"/>
                <w:szCs w:val="22"/>
              </w:rPr>
              <w:t>single- or double-sided</w:t>
            </w:r>
            <w:r w:rsidR="00143F30" w:rsidRPr="007F0AD7">
              <w:rPr>
                <w:rFonts w:ascii="Verdana" w:hAnsi="Verdana" w:cs="Verdana"/>
                <w:sz w:val="22"/>
                <w:szCs w:val="22"/>
              </w:rPr>
              <w:t xml:space="preserve"> </w:t>
            </w:r>
            <w:r w:rsidRPr="007F0AD7">
              <w:rPr>
                <w:rFonts w:ascii="Verdana" w:hAnsi="Verdana" w:cs="Verdana"/>
                <w:sz w:val="22"/>
                <w:szCs w:val="22"/>
              </w:rPr>
              <w:t>(at CFA Cluster)</w:t>
            </w:r>
          </w:p>
        </w:tc>
        <w:tc>
          <w:tcPr>
            <w:tcW w:w="2320" w:type="dxa"/>
            <w:tcBorders>
              <w:top w:val="single" w:sz="8" w:space="0" w:color="808080"/>
              <w:left w:val="single" w:sz="8" w:space="0" w:color="808080"/>
              <w:bottom w:val="single" w:sz="8" w:space="0" w:color="808080"/>
            </w:tcBorders>
            <w:tcMar>
              <w:top w:w="40" w:type="nil"/>
              <w:left w:w="40" w:type="nil"/>
              <w:bottom w:w="40" w:type="nil"/>
              <w:right w:w="40" w:type="nil"/>
            </w:tcMar>
            <w:vAlign w:val="center"/>
          </w:tcPr>
          <w:p w:rsidR="007F0AD7" w:rsidRPr="007F0AD7" w:rsidRDefault="007F0AD7">
            <w:pPr>
              <w:widowControl w:val="0"/>
              <w:autoSpaceDE w:val="0"/>
              <w:autoSpaceDN w:val="0"/>
              <w:adjustRightInd w:val="0"/>
              <w:spacing w:after="0"/>
              <w:jc w:val="right"/>
              <w:rPr>
                <w:rFonts w:ascii="Verdana" w:hAnsi="Verdana" w:cs="Verdana"/>
                <w:sz w:val="22"/>
                <w:szCs w:val="22"/>
              </w:rPr>
            </w:pPr>
            <w:r w:rsidRPr="007F0AD7">
              <w:rPr>
                <w:rFonts w:ascii="Verdana" w:hAnsi="Verdana" w:cs="Verdana"/>
                <w:sz w:val="22"/>
                <w:szCs w:val="22"/>
              </w:rPr>
              <w:t>$1.50</w:t>
            </w:r>
          </w:p>
        </w:tc>
      </w:tr>
    </w:tbl>
    <w:p w:rsidR="00143F30" w:rsidRDefault="00143F30"/>
    <w:p w:rsidR="00DE6C05" w:rsidRPr="00143F30" w:rsidRDefault="00A751F9">
      <w:pPr>
        <w:rPr>
          <w:rFonts w:ascii="Calibri" w:hAnsi="Calibri"/>
        </w:rPr>
      </w:pPr>
      <w:r>
        <w:rPr>
          <w:rFonts w:ascii="Calibri" w:hAnsi="Calibri"/>
        </w:rPr>
        <w:t>Your $40</w:t>
      </w:r>
      <w:r w:rsidR="00143F30" w:rsidRPr="00DE6C05">
        <w:rPr>
          <w:rFonts w:ascii="Calibri" w:hAnsi="Calibri"/>
        </w:rPr>
        <w:t xml:space="preserve"> print quota will let you print 800 pages per semester.  If you print double sided (the default in the Clusters), you will be able to print 1600 pages with your quota.</w:t>
      </w:r>
    </w:p>
    <w:p w:rsidR="00DE6C05" w:rsidRPr="00DE6C05" w:rsidRDefault="00DE6C05" w:rsidP="00DE6C05">
      <w:pPr>
        <w:rPr>
          <w:rFonts w:ascii="Calibri" w:hAnsi="Calibri"/>
        </w:rPr>
      </w:pPr>
      <w:r w:rsidRPr="00DE6C05">
        <w:rPr>
          <w:rFonts w:ascii="Calibri" w:hAnsi="Calibri"/>
        </w:rPr>
        <w:t xml:space="preserve">Your initial $40 printing allocation gets used up over the course of the semester as you print.  On the first day of classes next semester, you will have a new quota of exactly $40.  There is no carry-over of your quota.  </w:t>
      </w:r>
      <w:r>
        <w:rPr>
          <w:rFonts w:ascii="Calibri" w:hAnsi="Calibri"/>
        </w:rPr>
        <w:t xml:space="preserve">The quota system is in place to meet the needs of students while encouraging green practices and cost containment.  In addition, having a print quota allows us to have special features like color printing, and to allow printing from </w:t>
      </w:r>
      <w:r w:rsidR="00633A96">
        <w:rPr>
          <w:rFonts w:ascii="Calibri" w:hAnsi="Calibri"/>
        </w:rPr>
        <w:t>any machine, anywhere</w:t>
      </w:r>
      <w:r>
        <w:rPr>
          <w:rFonts w:ascii="Calibri" w:hAnsi="Calibri"/>
        </w:rPr>
        <w:t>.</w:t>
      </w:r>
    </w:p>
    <w:p w:rsidR="00A751F9" w:rsidRDefault="00A751F9" w:rsidP="00937ECA">
      <w:pPr>
        <w:pStyle w:val="Heading3"/>
      </w:pPr>
      <w:r>
        <w:t>Printing Beyond Your Quota</w:t>
      </w:r>
    </w:p>
    <w:p w:rsidR="00DE6C05" w:rsidRPr="00403FA3" w:rsidRDefault="00B85D2F" w:rsidP="00403FA3">
      <w:pPr>
        <w:rPr>
          <w:rFonts w:ascii="Calibri" w:hAnsi="Calibri"/>
        </w:rPr>
      </w:pPr>
      <w:r>
        <w:rPr>
          <w:rFonts w:ascii="Calibri" w:hAnsi="Calibri"/>
        </w:rPr>
        <w:t xml:space="preserve">If you use </w:t>
      </w:r>
      <w:r w:rsidR="00937ECA">
        <w:rPr>
          <w:rFonts w:ascii="Calibri" w:hAnsi="Calibri"/>
        </w:rPr>
        <w:t>your entire</w:t>
      </w:r>
      <w:r>
        <w:rPr>
          <w:rFonts w:ascii="Calibri" w:hAnsi="Calibri"/>
        </w:rPr>
        <w:t xml:space="preserve"> quota in a semester, you are still able to purchase additional pr</w:t>
      </w:r>
      <w:r w:rsidR="00403FA3">
        <w:rPr>
          <w:rFonts w:ascii="Calibri" w:hAnsi="Calibri"/>
        </w:rPr>
        <w:t>i</w:t>
      </w:r>
      <w:r>
        <w:rPr>
          <w:rFonts w:ascii="Calibri" w:hAnsi="Calibri"/>
        </w:rPr>
        <w:t xml:space="preserve">nt jobs.  Any printing in excess of your $40 allocation will be charged </w:t>
      </w:r>
      <w:r w:rsidR="00403FA3">
        <w:rPr>
          <w:rFonts w:ascii="Calibri" w:hAnsi="Calibri"/>
        </w:rPr>
        <w:t xml:space="preserve">paid for using your </w:t>
      </w:r>
      <w:proofErr w:type="spellStart"/>
      <w:r w:rsidR="00403FA3">
        <w:rPr>
          <w:rFonts w:ascii="Calibri" w:hAnsi="Calibri"/>
        </w:rPr>
        <w:t>PlaidCa$h</w:t>
      </w:r>
      <w:proofErr w:type="spellEnd"/>
      <w:r w:rsidR="00403FA3">
        <w:rPr>
          <w:rFonts w:ascii="Calibri" w:hAnsi="Calibri"/>
        </w:rPr>
        <w:t xml:space="preserve">.  If you do not have any money in your </w:t>
      </w:r>
      <w:proofErr w:type="spellStart"/>
      <w:r w:rsidR="00403FA3">
        <w:rPr>
          <w:rFonts w:ascii="Calibri" w:hAnsi="Calibri"/>
        </w:rPr>
        <w:t>PlaidCa$h</w:t>
      </w:r>
      <w:proofErr w:type="spellEnd"/>
      <w:r w:rsidR="00403FA3">
        <w:rPr>
          <w:rFonts w:ascii="Calibri" w:hAnsi="Calibri"/>
        </w:rPr>
        <w:t xml:space="preserve"> account, you will not be able to print.</w:t>
      </w:r>
    </w:p>
    <w:p w:rsidR="003A0FD4" w:rsidRDefault="008C0F83" w:rsidP="00DE6C05">
      <w:pPr>
        <w:pStyle w:val="Heading3"/>
      </w:pPr>
      <w:r>
        <w:t>Keeping Track of Your Quota</w:t>
      </w:r>
    </w:p>
    <w:p w:rsidR="00DE6C05" w:rsidRPr="003A0FD4" w:rsidRDefault="00DE6C05" w:rsidP="003A0FD4"/>
    <w:p w:rsidR="00DE6C05" w:rsidRPr="00DE6C05" w:rsidRDefault="003A0FD4" w:rsidP="00DE6C05">
      <w:pPr>
        <w:rPr>
          <w:rFonts w:ascii="Calibri" w:hAnsi="Calibri"/>
        </w:rPr>
      </w:pPr>
      <w:r>
        <w:t xml:space="preserve">You are able to monitor your Andrew Print quota usage from the My Carnegie Mellon web portal, either by selecting the Finances tab, or by going directly to the URL: </w:t>
      </w:r>
      <w:hyperlink r:id="rId5" w:history="1">
        <w:r w:rsidR="00DE6C05" w:rsidRPr="00DE6C05">
          <w:rPr>
            <w:rStyle w:val="Hyperlink"/>
            <w:rFonts w:ascii="Calibri" w:hAnsi="Calibri"/>
          </w:rPr>
          <w:t>https://my.cmu.edu/portal/site/main/finances/</w:t>
        </w:r>
      </w:hyperlink>
      <w:r>
        <w:rPr>
          <w:rFonts w:ascii="Calibri" w:hAnsi="Calibri"/>
        </w:rPr>
        <w:t>.  In addition to viewing your current balance, you can also review your usage for the semester.</w:t>
      </w:r>
    </w:p>
    <w:p w:rsidR="00A22DDA" w:rsidRDefault="008C0F83" w:rsidP="00937ECA">
      <w:pPr>
        <w:pStyle w:val="Heading3"/>
      </w:pPr>
      <w:r>
        <w:t>Did I Get This:</w:t>
      </w:r>
    </w:p>
    <w:p w:rsidR="00A22DDA" w:rsidRPr="00937ECA" w:rsidRDefault="00A22DDA" w:rsidP="00A22DDA">
      <w:pPr>
        <w:pStyle w:val="ListParagraph"/>
        <w:numPr>
          <w:ilvl w:val="0"/>
          <w:numId w:val="4"/>
        </w:numPr>
        <w:rPr>
          <w:rFonts w:ascii="Calibri" w:hAnsi="Calibri"/>
          <w:highlight w:val="yellow"/>
        </w:rPr>
      </w:pPr>
      <w:r w:rsidRPr="00937ECA">
        <w:rPr>
          <w:rFonts w:ascii="Calibri" w:hAnsi="Calibri"/>
          <w:highlight w:val="yellow"/>
        </w:rPr>
        <w:t>What is the size of your initial Andrew Print quota?</w:t>
      </w:r>
    </w:p>
    <w:p w:rsidR="00A22DDA" w:rsidRPr="00937ECA" w:rsidRDefault="00A22DDA" w:rsidP="00A22DDA">
      <w:pPr>
        <w:pStyle w:val="ListParagraph"/>
        <w:numPr>
          <w:ilvl w:val="1"/>
          <w:numId w:val="4"/>
        </w:numPr>
        <w:rPr>
          <w:rFonts w:ascii="Calibri" w:hAnsi="Calibri"/>
          <w:highlight w:val="yellow"/>
        </w:rPr>
      </w:pPr>
      <w:r w:rsidRPr="00937ECA">
        <w:rPr>
          <w:rFonts w:ascii="Calibri" w:hAnsi="Calibri"/>
          <w:highlight w:val="yellow"/>
        </w:rPr>
        <w:t xml:space="preserve">$10.00 (No, </w:t>
      </w:r>
      <w:r w:rsidR="00D262CC" w:rsidRPr="00937ECA">
        <w:rPr>
          <w:rFonts w:ascii="Calibri" w:hAnsi="Calibri"/>
          <w:highlight w:val="yellow"/>
        </w:rPr>
        <w:t>your allocation is larger than this)</w:t>
      </w:r>
    </w:p>
    <w:p w:rsidR="00A22DDA" w:rsidRPr="00937ECA" w:rsidRDefault="00A22DDA" w:rsidP="00A22DDA">
      <w:pPr>
        <w:pStyle w:val="ListParagraph"/>
        <w:numPr>
          <w:ilvl w:val="1"/>
          <w:numId w:val="4"/>
        </w:numPr>
        <w:rPr>
          <w:rFonts w:ascii="Calibri" w:hAnsi="Calibri"/>
          <w:highlight w:val="yellow"/>
        </w:rPr>
      </w:pPr>
      <w:r w:rsidRPr="00937ECA">
        <w:rPr>
          <w:rFonts w:ascii="Calibri" w:hAnsi="Calibri"/>
          <w:highlight w:val="yellow"/>
        </w:rPr>
        <w:t>4000 pages</w:t>
      </w:r>
      <w:r w:rsidR="00D262CC" w:rsidRPr="00937ECA">
        <w:rPr>
          <w:rFonts w:ascii="Calibri" w:hAnsi="Calibri"/>
          <w:highlight w:val="yellow"/>
        </w:rPr>
        <w:t xml:space="preserve"> (No, your quota isn’t measure in pages)</w:t>
      </w:r>
    </w:p>
    <w:p w:rsidR="00A22DDA" w:rsidRPr="00937ECA" w:rsidRDefault="00A22DDA" w:rsidP="00A22DDA">
      <w:pPr>
        <w:pStyle w:val="ListParagraph"/>
        <w:numPr>
          <w:ilvl w:val="1"/>
          <w:numId w:val="4"/>
        </w:numPr>
        <w:rPr>
          <w:rFonts w:ascii="Calibri" w:hAnsi="Calibri"/>
          <w:highlight w:val="yellow"/>
        </w:rPr>
      </w:pPr>
      <w:r w:rsidRPr="00937ECA">
        <w:rPr>
          <w:rFonts w:ascii="Calibri" w:hAnsi="Calibri"/>
          <w:highlight w:val="yellow"/>
        </w:rPr>
        <w:t>400 pages</w:t>
      </w:r>
      <w:r w:rsidR="00D262CC" w:rsidRPr="00937ECA">
        <w:rPr>
          <w:rFonts w:ascii="Calibri" w:hAnsi="Calibri"/>
          <w:highlight w:val="yellow"/>
        </w:rPr>
        <w:t xml:space="preserve"> (No; although you can use your quota to print pages, it is not measured in pages)</w:t>
      </w:r>
    </w:p>
    <w:p w:rsidR="00D262CC" w:rsidRPr="00937ECA" w:rsidRDefault="00A22DDA" w:rsidP="00A22DDA">
      <w:pPr>
        <w:pStyle w:val="ListParagraph"/>
        <w:numPr>
          <w:ilvl w:val="1"/>
          <w:numId w:val="4"/>
        </w:numPr>
        <w:rPr>
          <w:rFonts w:ascii="Calibri" w:hAnsi="Calibri"/>
          <w:highlight w:val="yellow"/>
        </w:rPr>
      </w:pPr>
      <w:r w:rsidRPr="00937ECA">
        <w:rPr>
          <w:rFonts w:ascii="Calibri" w:hAnsi="Calibri"/>
          <w:highlight w:val="yellow"/>
        </w:rPr>
        <w:t>$40.00</w:t>
      </w:r>
      <w:r w:rsidR="00D262CC" w:rsidRPr="00937ECA">
        <w:rPr>
          <w:rFonts w:ascii="Calibri" w:hAnsi="Calibri"/>
          <w:highlight w:val="yellow"/>
        </w:rPr>
        <w:t xml:space="preserve"> (Yes—this allocation can be used to however you see fit)</w:t>
      </w:r>
    </w:p>
    <w:p w:rsidR="00D262CC" w:rsidRPr="00937ECA" w:rsidRDefault="00D262CC" w:rsidP="00D262CC">
      <w:pPr>
        <w:pStyle w:val="ListParagraph"/>
        <w:ind w:left="1440"/>
        <w:rPr>
          <w:rFonts w:ascii="Calibri" w:hAnsi="Calibri"/>
          <w:highlight w:val="yellow"/>
        </w:rPr>
      </w:pPr>
      <w:r w:rsidRPr="00937ECA">
        <w:rPr>
          <w:rFonts w:ascii="Calibri" w:hAnsi="Calibri"/>
          <w:highlight w:val="yellow"/>
        </w:rPr>
        <w:t>Hint 1: How is your Andrew Print quota measured?</w:t>
      </w:r>
    </w:p>
    <w:p w:rsidR="00D262CC" w:rsidRPr="00937ECA" w:rsidRDefault="00D262CC" w:rsidP="00D262CC">
      <w:pPr>
        <w:pStyle w:val="ListParagraph"/>
        <w:ind w:left="1440"/>
        <w:rPr>
          <w:rFonts w:ascii="Calibri" w:hAnsi="Calibri"/>
          <w:highlight w:val="yellow"/>
        </w:rPr>
      </w:pPr>
      <w:r w:rsidRPr="00937ECA">
        <w:rPr>
          <w:rFonts w:ascii="Calibri" w:hAnsi="Calibri"/>
          <w:highlight w:val="yellow"/>
        </w:rPr>
        <w:t xml:space="preserve">Hint 2: Remember that your quota is large enough to print 800 pages </w:t>
      </w:r>
      <w:proofErr w:type="gramStart"/>
      <w:r w:rsidRPr="00937ECA">
        <w:rPr>
          <w:rFonts w:ascii="Calibri" w:hAnsi="Calibri"/>
          <w:highlight w:val="yellow"/>
        </w:rPr>
        <w:t>at  5</w:t>
      </w:r>
      <w:proofErr w:type="gramEnd"/>
      <w:r w:rsidRPr="00937ECA">
        <w:rPr>
          <w:rFonts w:ascii="Calibri" w:hAnsi="Calibri"/>
          <w:highlight w:val="yellow"/>
        </w:rPr>
        <w:t xml:space="preserve"> cents a page.</w:t>
      </w:r>
    </w:p>
    <w:p w:rsidR="00D262CC" w:rsidRPr="00937ECA" w:rsidRDefault="00D262CC" w:rsidP="00D262CC">
      <w:pPr>
        <w:pStyle w:val="ListParagraph"/>
        <w:ind w:left="1440"/>
        <w:rPr>
          <w:rFonts w:ascii="Calibri" w:hAnsi="Calibri"/>
          <w:highlight w:val="yellow"/>
        </w:rPr>
      </w:pPr>
      <w:r w:rsidRPr="00937ECA">
        <w:rPr>
          <w:rFonts w:ascii="Calibri" w:hAnsi="Calibri"/>
          <w:highlight w:val="yellow"/>
        </w:rPr>
        <w:t>Hint 3: You are given an allocation of $40.00 for printing each semester</w:t>
      </w:r>
    </w:p>
    <w:p w:rsidR="00D262CC" w:rsidRPr="00937ECA" w:rsidRDefault="00D262CC" w:rsidP="00D262CC">
      <w:pPr>
        <w:pStyle w:val="ListParagraph"/>
        <w:numPr>
          <w:ilvl w:val="0"/>
          <w:numId w:val="4"/>
        </w:numPr>
        <w:rPr>
          <w:rFonts w:ascii="Calibri" w:hAnsi="Calibri"/>
          <w:highlight w:val="yellow"/>
        </w:rPr>
      </w:pPr>
      <w:r w:rsidRPr="00937ECA">
        <w:rPr>
          <w:rFonts w:ascii="Calibri" w:hAnsi="Calibri"/>
          <w:highlight w:val="yellow"/>
        </w:rPr>
        <w:t>How often does your Andrew Print quota reset?</w:t>
      </w:r>
    </w:p>
    <w:p w:rsidR="00D262CC" w:rsidRPr="00937ECA" w:rsidRDefault="00D262CC" w:rsidP="00D262CC">
      <w:pPr>
        <w:pStyle w:val="ListParagraph"/>
        <w:numPr>
          <w:ilvl w:val="1"/>
          <w:numId w:val="4"/>
        </w:numPr>
        <w:rPr>
          <w:rFonts w:ascii="Calibri" w:hAnsi="Calibri"/>
          <w:highlight w:val="yellow"/>
        </w:rPr>
      </w:pPr>
      <w:r w:rsidRPr="00937ECA">
        <w:rPr>
          <w:rFonts w:ascii="Calibri" w:hAnsi="Calibri"/>
          <w:highlight w:val="yellow"/>
        </w:rPr>
        <w:t>Once a Month (No</w:t>
      </w:r>
      <w:r w:rsidR="00DB592E" w:rsidRPr="00937ECA">
        <w:rPr>
          <w:rFonts w:ascii="Calibri" w:hAnsi="Calibri"/>
          <w:highlight w:val="yellow"/>
        </w:rPr>
        <w:t>, not this frequently; the quota is tied to the start and end of classes).</w:t>
      </w:r>
    </w:p>
    <w:p w:rsidR="00D262CC" w:rsidRPr="00937ECA" w:rsidRDefault="00DB592E" w:rsidP="00D262CC">
      <w:pPr>
        <w:pStyle w:val="ListParagraph"/>
        <w:numPr>
          <w:ilvl w:val="1"/>
          <w:numId w:val="4"/>
        </w:numPr>
        <w:rPr>
          <w:rFonts w:ascii="Calibri" w:hAnsi="Calibri"/>
          <w:highlight w:val="yellow"/>
        </w:rPr>
      </w:pPr>
      <w:r w:rsidRPr="00937ECA">
        <w:rPr>
          <w:rFonts w:ascii="Calibri" w:hAnsi="Calibri"/>
          <w:highlight w:val="yellow"/>
        </w:rPr>
        <w:t>Once an Academic Year (Not quote--</w:t>
      </w:r>
      <w:r w:rsidR="00D262CC" w:rsidRPr="00937ECA">
        <w:rPr>
          <w:rFonts w:ascii="Calibri" w:hAnsi="Calibri"/>
          <w:highlight w:val="yellow"/>
        </w:rPr>
        <w:t xml:space="preserve"> quota resets three times each academic year)</w:t>
      </w:r>
    </w:p>
    <w:p w:rsidR="00D262CC" w:rsidRPr="00937ECA" w:rsidRDefault="00D262CC" w:rsidP="00D262CC">
      <w:pPr>
        <w:pStyle w:val="ListParagraph"/>
        <w:numPr>
          <w:ilvl w:val="1"/>
          <w:numId w:val="4"/>
        </w:numPr>
        <w:rPr>
          <w:rFonts w:ascii="Calibri" w:hAnsi="Calibri"/>
          <w:highlight w:val="yellow"/>
        </w:rPr>
      </w:pPr>
      <w:r w:rsidRPr="00937ECA">
        <w:rPr>
          <w:rFonts w:ascii="Calibri" w:hAnsi="Calibri"/>
          <w:highlight w:val="yellow"/>
        </w:rPr>
        <w:t>Once each Fiscal Year (No, the quota is on a semester system)</w:t>
      </w:r>
    </w:p>
    <w:p w:rsidR="00D262CC" w:rsidRPr="00937ECA" w:rsidRDefault="00D262CC" w:rsidP="00D262CC">
      <w:pPr>
        <w:pStyle w:val="ListParagraph"/>
        <w:numPr>
          <w:ilvl w:val="1"/>
          <w:numId w:val="4"/>
        </w:numPr>
        <w:rPr>
          <w:rFonts w:ascii="Calibri" w:hAnsi="Calibri"/>
          <w:highlight w:val="yellow"/>
        </w:rPr>
      </w:pPr>
      <w:r w:rsidRPr="00937ECA">
        <w:rPr>
          <w:rFonts w:ascii="Calibri" w:hAnsi="Calibri"/>
          <w:highlight w:val="yellow"/>
        </w:rPr>
        <w:t>Once a Semester (Yes—the quota is reset on the first day of Spring, Summer and Fall classes)</w:t>
      </w:r>
    </w:p>
    <w:p w:rsidR="00D262CC" w:rsidRPr="00937ECA" w:rsidRDefault="00DB592E" w:rsidP="00DB592E">
      <w:pPr>
        <w:ind w:left="1080"/>
        <w:rPr>
          <w:rFonts w:ascii="Calibri" w:hAnsi="Calibri"/>
          <w:highlight w:val="yellow"/>
        </w:rPr>
      </w:pPr>
      <w:r w:rsidRPr="00937ECA">
        <w:rPr>
          <w:rFonts w:ascii="Calibri" w:hAnsi="Calibri"/>
          <w:highlight w:val="yellow"/>
        </w:rPr>
        <w:t>Hint 1: Remember that quota is replenished on the first day of classes</w:t>
      </w:r>
      <w:r w:rsidRPr="00937ECA">
        <w:rPr>
          <w:rFonts w:ascii="Calibri" w:hAnsi="Calibri"/>
          <w:highlight w:val="yellow"/>
        </w:rPr>
        <w:br/>
        <w:t>Hint 2: Andrew Print quota is reset three times a year</w:t>
      </w:r>
      <w:r w:rsidRPr="00937ECA">
        <w:rPr>
          <w:rFonts w:ascii="Calibri" w:hAnsi="Calibri"/>
          <w:highlight w:val="yellow"/>
        </w:rPr>
        <w:br/>
        <w:t>Hint</w:t>
      </w:r>
      <w:r w:rsidR="00B55DA4" w:rsidRPr="00937ECA">
        <w:rPr>
          <w:rFonts w:ascii="Calibri" w:hAnsi="Calibri"/>
          <w:highlight w:val="yellow"/>
        </w:rPr>
        <w:t xml:space="preserve"> </w:t>
      </w:r>
      <w:r w:rsidRPr="00937ECA">
        <w:rPr>
          <w:rFonts w:ascii="Calibri" w:hAnsi="Calibri"/>
          <w:highlight w:val="yellow"/>
        </w:rPr>
        <w:t>3: Quota is replenished at the start of each semester</w:t>
      </w:r>
    </w:p>
    <w:p w:rsidR="00DB592E" w:rsidRPr="00937ECA" w:rsidRDefault="00DB592E" w:rsidP="00DB592E">
      <w:pPr>
        <w:pStyle w:val="ListParagraph"/>
        <w:numPr>
          <w:ilvl w:val="0"/>
          <w:numId w:val="4"/>
        </w:numPr>
        <w:rPr>
          <w:rFonts w:ascii="Calibri" w:hAnsi="Calibri"/>
          <w:highlight w:val="yellow"/>
        </w:rPr>
      </w:pPr>
      <w:proofErr w:type="spellStart"/>
      <w:r w:rsidRPr="00937ECA">
        <w:rPr>
          <w:rFonts w:ascii="Calibri" w:hAnsi="Calibri"/>
          <w:highlight w:val="yellow"/>
        </w:rPr>
        <w:t>Anshu</w:t>
      </w:r>
      <w:proofErr w:type="spellEnd"/>
      <w:r w:rsidRPr="00937ECA">
        <w:rPr>
          <w:rFonts w:ascii="Calibri" w:hAnsi="Calibri"/>
          <w:highlight w:val="yellow"/>
        </w:rPr>
        <w:t xml:space="preserve"> needs to print out 4 pages of slide handouts for 10 of his classmates.  He also needs to create two large, color posters to s</w:t>
      </w:r>
      <w:r w:rsidR="00933753" w:rsidRPr="00937ECA">
        <w:rPr>
          <w:rFonts w:ascii="Calibri" w:hAnsi="Calibri"/>
          <w:highlight w:val="yellow"/>
        </w:rPr>
        <w:t xml:space="preserve">upport a presentation.  He checks the portal and finds that he has a balance of 1.50 on his Print quota, and $1.05 on his Plaid </w:t>
      </w:r>
      <w:proofErr w:type="spellStart"/>
      <w:r w:rsidR="00933753" w:rsidRPr="00937ECA">
        <w:rPr>
          <w:rFonts w:ascii="Calibri" w:hAnsi="Calibri"/>
          <w:highlight w:val="yellow"/>
        </w:rPr>
        <w:t>Ca$h</w:t>
      </w:r>
      <w:proofErr w:type="spellEnd"/>
      <w:r w:rsidR="00933753" w:rsidRPr="00937ECA">
        <w:rPr>
          <w:rFonts w:ascii="Calibri" w:hAnsi="Calibri"/>
          <w:highlight w:val="yellow"/>
        </w:rPr>
        <w:t xml:space="preserve"> [</w:t>
      </w:r>
      <w:proofErr w:type="spellStart"/>
      <w:r w:rsidR="00933753" w:rsidRPr="00937ECA">
        <w:rPr>
          <w:rFonts w:ascii="Calibri" w:hAnsi="Calibri"/>
          <w:highlight w:val="yellow"/>
        </w:rPr>
        <w:t>screencap</w:t>
      </w:r>
      <w:proofErr w:type="spellEnd"/>
      <w:r w:rsidR="00933753" w:rsidRPr="00937ECA">
        <w:rPr>
          <w:rFonts w:ascii="Calibri" w:hAnsi="Calibri"/>
          <w:highlight w:val="yellow"/>
        </w:rPr>
        <w:t>?]</w:t>
      </w:r>
      <w:r w:rsidRPr="00937ECA">
        <w:rPr>
          <w:rFonts w:ascii="Calibri" w:hAnsi="Calibri"/>
          <w:highlight w:val="yellow"/>
        </w:rPr>
        <w:t xml:space="preserve"> </w:t>
      </w:r>
    </w:p>
    <w:p w:rsidR="00933753" w:rsidRPr="00937ECA" w:rsidRDefault="00933753" w:rsidP="00933753">
      <w:pPr>
        <w:pStyle w:val="ListParagraph"/>
        <w:numPr>
          <w:ilvl w:val="1"/>
          <w:numId w:val="4"/>
        </w:numPr>
        <w:rPr>
          <w:rFonts w:ascii="Calibri" w:hAnsi="Calibri"/>
          <w:highlight w:val="yellow"/>
        </w:rPr>
      </w:pPr>
      <w:r w:rsidRPr="00937ECA">
        <w:rPr>
          <w:rFonts w:ascii="Calibri" w:hAnsi="Calibri"/>
          <w:highlight w:val="yellow"/>
        </w:rPr>
        <w:t xml:space="preserve">With this balance, is it possible to create his handouts? </w:t>
      </w:r>
    </w:p>
    <w:p w:rsidR="00933753" w:rsidRPr="00937ECA" w:rsidRDefault="00933753" w:rsidP="00933753">
      <w:pPr>
        <w:pStyle w:val="ListParagraph"/>
        <w:numPr>
          <w:ilvl w:val="2"/>
          <w:numId w:val="4"/>
        </w:numPr>
        <w:rPr>
          <w:rFonts w:ascii="Calibri" w:hAnsi="Calibri"/>
          <w:highlight w:val="yellow"/>
        </w:rPr>
      </w:pPr>
      <w:r w:rsidRPr="00937ECA">
        <w:rPr>
          <w:rFonts w:ascii="Calibri" w:hAnsi="Calibri"/>
          <w:highlight w:val="yellow"/>
        </w:rPr>
        <w:t>No (If he prints the handouts in black and white, he has plenty of quota for his slides)</w:t>
      </w:r>
    </w:p>
    <w:p w:rsidR="00933753" w:rsidRPr="00937ECA" w:rsidRDefault="00933753" w:rsidP="00933753">
      <w:pPr>
        <w:pStyle w:val="ListParagraph"/>
        <w:numPr>
          <w:ilvl w:val="2"/>
          <w:numId w:val="4"/>
        </w:numPr>
        <w:rPr>
          <w:rFonts w:ascii="Calibri" w:hAnsi="Calibri"/>
          <w:highlight w:val="yellow"/>
        </w:rPr>
      </w:pPr>
      <w:r w:rsidRPr="00937ECA">
        <w:rPr>
          <w:rFonts w:ascii="Calibri" w:hAnsi="Calibri"/>
          <w:highlight w:val="yellow"/>
        </w:rPr>
        <w:t>Yes (Correct—he can choose to print out single-sided or double-sided slides as long as they are in black and white)</w:t>
      </w:r>
    </w:p>
    <w:p w:rsidR="00933753" w:rsidRPr="00937ECA" w:rsidRDefault="00933753" w:rsidP="00933753">
      <w:pPr>
        <w:pStyle w:val="ListParagraph"/>
        <w:numPr>
          <w:ilvl w:val="1"/>
          <w:numId w:val="4"/>
        </w:numPr>
        <w:rPr>
          <w:rFonts w:ascii="Calibri" w:hAnsi="Calibri"/>
          <w:highlight w:val="yellow"/>
        </w:rPr>
      </w:pPr>
      <w:r w:rsidRPr="00937ECA">
        <w:rPr>
          <w:rFonts w:ascii="Calibri" w:hAnsi="Calibri"/>
          <w:highlight w:val="yellow"/>
        </w:rPr>
        <w:t>With this balance, can he create his posters?</w:t>
      </w:r>
    </w:p>
    <w:p w:rsidR="00933753" w:rsidRPr="00937ECA" w:rsidRDefault="00933753" w:rsidP="00933753">
      <w:pPr>
        <w:pStyle w:val="ListParagraph"/>
        <w:numPr>
          <w:ilvl w:val="2"/>
          <w:numId w:val="4"/>
        </w:numPr>
        <w:rPr>
          <w:rFonts w:ascii="Calibri" w:hAnsi="Calibri"/>
          <w:highlight w:val="yellow"/>
        </w:rPr>
      </w:pPr>
      <w:r w:rsidRPr="00937ECA">
        <w:rPr>
          <w:rFonts w:ascii="Calibri" w:hAnsi="Calibri"/>
          <w:highlight w:val="yellow"/>
        </w:rPr>
        <w:t xml:space="preserve">No (Correct—he will need to add money to his Plaid </w:t>
      </w:r>
      <w:proofErr w:type="spellStart"/>
      <w:r w:rsidRPr="00937ECA">
        <w:rPr>
          <w:rFonts w:ascii="Calibri" w:hAnsi="Calibri"/>
          <w:highlight w:val="yellow"/>
        </w:rPr>
        <w:t>Ca$h</w:t>
      </w:r>
      <w:proofErr w:type="spellEnd"/>
      <w:r w:rsidRPr="00937ECA">
        <w:rPr>
          <w:rFonts w:ascii="Calibri" w:hAnsi="Calibri"/>
          <w:highlight w:val="yellow"/>
        </w:rPr>
        <w:t xml:space="preserve"> account to create two posters and the handouts)</w:t>
      </w:r>
    </w:p>
    <w:p w:rsidR="00933753" w:rsidRPr="00937ECA" w:rsidRDefault="00933753" w:rsidP="00933753">
      <w:pPr>
        <w:pStyle w:val="ListParagraph"/>
        <w:numPr>
          <w:ilvl w:val="2"/>
          <w:numId w:val="4"/>
        </w:numPr>
        <w:rPr>
          <w:rFonts w:ascii="Calibri" w:hAnsi="Calibri"/>
          <w:highlight w:val="yellow"/>
        </w:rPr>
      </w:pPr>
      <w:r w:rsidRPr="00937ECA">
        <w:rPr>
          <w:rFonts w:ascii="Calibri" w:hAnsi="Calibri"/>
          <w:highlight w:val="yellow"/>
        </w:rPr>
        <w:t>Yes (That’s not right—he can create at most a single 11 x 17 sized color poster)</w:t>
      </w:r>
    </w:p>
    <w:p w:rsidR="00B949C5" w:rsidRPr="00933753" w:rsidRDefault="00933753" w:rsidP="00B55DA4">
      <w:pPr>
        <w:ind w:left="1440"/>
        <w:rPr>
          <w:rFonts w:ascii="Calibri" w:hAnsi="Calibri"/>
        </w:rPr>
      </w:pPr>
      <w:r w:rsidRPr="00937ECA">
        <w:rPr>
          <w:rFonts w:ascii="Calibri" w:hAnsi="Calibri"/>
          <w:highlight w:val="yellow"/>
        </w:rPr>
        <w:t>Hint 1: Review the price lists</w:t>
      </w:r>
      <w:r w:rsidR="00B55DA4" w:rsidRPr="00937ECA">
        <w:rPr>
          <w:rFonts w:ascii="Calibri" w:hAnsi="Calibri"/>
          <w:highlight w:val="yellow"/>
        </w:rPr>
        <w:t>.</w:t>
      </w:r>
      <w:r w:rsidRPr="00937ECA">
        <w:rPr>
          <w:rFonts w:ascii="Calibri" w:hAnsi="Calibri"/>
          <w:highlight w:val="yellow"/>
        </w:rPr>
        <w:br/>
        <w:t xml:space="preserve">Hint 2: Remember that </w:t>
      </w:r>
      <w:r w:rsidR="00B55DA4" w:rsidRPr="00937ECA">
        <w:rPr>
          <w:rFonts w:ascii="Calibri" w:hAnsi="Calibri"/>
          <w:highlight w:val="yellow"/>
        </w:rPr>
        <w:t>a document that is printed on two sides only counts as a single page.</w:t>
      </w:r>
      <w:r w:rsidR="00B55DA4" w:rsidRPr="00937ECA">
        <w:rPr>
          <w:rFonts w:ascii="Calibri" w:hAnsi="Calibri"/>
          <w:highlight w:val="yellow"/>
        </w:rPr>
        <w:br/>
        <w:t xml:space="preserve">Hint 3: With double-sided printing </w:t>
      </w:r>
      <w:proofErr w:type="spellStart"/>
      <w:r w:rsidR="00B55DA4" w:rsidRPr="00937ECA">
        <w:rPr>
          <w:rFonts w:ascii="Calibri" w:hAnsi="Calibri"/>
          <w:highlight w:val="yellow"/>
        </w:rPr>
        <w:t>Anshu</w:t>
      </w:r>
      <w:proofErr w:type="spellEnd"/>
      <w:r w:rsidR="00B55DA4" w:rsidRPr="00937ECA">
        <w:rPr>
          <w:rFonts w:ascii="Calibri" w:hAnsi="Calibri"/>
          <w:highlight w:val="yellow"/>
        </w:rPr>
        <w:t xml:space="preserve"> can get his handouts, but he does not have quota or Plaid </w:t>
      </w:r>
      <w:proofErr w:type="spellStart"/>
      <w:r w:rsidR="00B55DA4" w:rsidRPr="00937ECA">
        <w:rPr>
          <w:rFonts w:ascii="Calibri" w:hAnsi="Calibri"/>
          <w:highlight w:val="yellow"/>
        </w:rPr>
        <w:t>Ca$h</w:t>
      </w:r>
      <w:proofErr w:type="spellEnd"/>
      <w:r w:rsidR="00B55DA4" w:rsidRPr="00937ECA">
        <w:rPr>
          <w:rFonts w:ascii="Calibri" w:hAnsi="Calibri"/>
          <w:highlight w:val="yellow"/>
        </w:rPr>
        <w:t xml:space="preserve"> to create his posters.</w:t>
      </w:r>
    </w:p>
    <w:p w:rsidR="003A0FD4" w:rsidRDefault="003A0FD4" w:rsidP="001B2E13">
      <w:pPr>
        <w:pStyle w:val="Heading3"/>
        <w:pBdr>
          <w:top w:val="single" w:sz="4" w:space="1" w:color="000000" w:themeColor="text1"/>
          <w:left w:val="single" w:sz="4" w:space="4" w:color="000000" w:themeColor="text1"/>
          <w:bottom w:val="single" w:sz="4" w:space="1" w:color="000000" w:themeColor="text1"/>
          <w:right w:val="single" w:sz="4" w:space="4" w:color="000000" w:themeColor="text1"/>
        </w:pBdr>
      </w:pPr>
      <w:r>
        <w:t>Many Students Wonder:</w:t>
      </w:r>
    </w:p>
    <w:p w:rsidR="00A22DDA" w:rsidRDefault="00A22DDA" w:rsidP="001B2E13">
      <w:pPr>
        <w:pBdr>
          <w:top w:val="single" w:sz="4" w:space="1" w:color="000000" w:themeColor="text1"/>
          <w:left w:val="single" w:sz="4" w:space="4" w:color="000000" w:themeColor="text1"/>
          <w:bottom w:val="single" w:sz="4" w:space="1" w:color="000000" w:themeColor="text1"/>
          <w:right w:val="single" w:sz="4" w:space="4" w:color="000000" w:themeColor="text1"/>
        </w:pBdr>
      </w:pPr>
      <w:r>
        <w:t>How is the Andrew Print quota Allocation Determined?</w:t>
      </w:r>
    </w:p>
    <w:p w:rsidR="00A22DDA" w:rsidRDefault="00A22DDA" w:rsidP="001B2E13">
      <w:pPr>
        <w:pBdr>
          <w:top w:val="single" w:sz="4" w:space="1" w:color="000000" w:themeColor="text1"/>
          <w:left w:val="single" w:sz="4" w:space="4" w:color="000000" w:themeColor="text1"/>
          <w:bottom w:val="single" w:sz="4" w:space="1" w:color="000000" w:themeColor="text1"/>
          <w:right w:val="single" w:sz="4" w:space="4" w:color="000000" w:themeColor="text1"/>
        </w:pBdr>
      </w:pPr>
      <w:r>
        <w:t>The purpose of establishing an Andrew Print Quota is to reduce or eliminate waste and to encourage all users to be conservative in their printing habits.  The current allocation was established based on research into the needs and practices of active students, faculty and staff.  $40.00 per semester is adequate to satisfy 95% of the campus community’s black and white printing needs at the current prices.</w:t>
      </w:r>
    </w:p>
    <w:p w:rsidR="00B55DA4" w:rsidRDefault="00B55DA4" w:rsidP="00B949C5">
      <w:pPr>
        <w:pStyle w:val="Heading3"/>
      </w:pPr>
    </w:p>
    <w:p w:rsidR="00B55DA4" w:rsidRDefault="00B55DA4" w:rsidP="00B949C5">
      <w:pPr>
        <w:pStyle w:val="Heading3"/>
      </w:pPr>
      <w:r>
        <w:t>Using Andrew Printing</w:t>
      </w:r>
    </w:p>
    <w:p w:rsidR="00B55DA4" w:rsidRDefault="00B55DA4" w:rsidP="00B55DA4">
      <w:r>
        <w:t xml:space="preserve">You have a variety of options for printing your work; where and how you choose to print can be influenced by a number of factors—how soon will you be picking up your work? What special options or features does your print job require?  Where is it most convenient for you to retrieve your work?  In this section of the course you will learn how to select an appropriate print queue, and </w:t>
      </w:r>
    </w:p>
    <w:p w:rsidR="00DE6C05" w:rsidRPr="00B949C5" w:rsidRDefault="00170A90" w:rsidP="00B949C5">
      <w:pPr>
        <w:pStyle w:val="Heading3"/>
      </w:pPr>
      <w:r>
        <w:t xml:space="preserve">Where Can I </w:t>
      </w:r>
      <w:proofErr w:type="gramStart"/>
      <w:r>
        <w:t>Print From?</w:t>
      </w:r>
      <w:proofErr w:type="gramEnd"/>
    </w:p>
    <w:p w:rsidR="00170A90" w:rsidRDefault="00B949C5" w:rsidP="00B949C5">
      <w:pPr>
        <w:rPr>
          <w:rFonts w:ascii="Calibri" w:hAnsi="Calibri"/>
        </w:rPr>
      </w:pPr>
      <w:r>
        <w:rPr>
          <w:rFonts w:ascii="Calibri" w:hAnsi="Calibri"/>
        </w:rPr>
        <w:t xml:space="preserve">Users can print from any computer the printing software is installed on.  All Cluster computers and computers in the </w:t>
      </w:r>
      <w:r w:rsidR="00493082">
        <w:rPr>
          <w:rFonts w:ascii="Calibri" w:hAnsi="Calibri"/>
        </w:rPr>
        <w:t>University</w:t>
      </w:r>
      <w:r>
        <w:rPr>
          <w:rFonts w:ascii="Calibri" w:hAnsi="Calibri"/>
        </w:rPr>
        <w:t xml:space="preserve"> Libraries are set up to print to Andrew Printing queues.</w:t>
      </w:r>
      <w:r w:rsidR="00170A90">
        <w:rPr>
          <w:rFonts w:ascii="Calibri" w:hAnsi="Calibri"/>
        </w:rPr>
        <w:t xml:space="preserve"> You can review the list of these computers in the [CLUSTER SECTION OF COURSE.]</w:t>
      </w:r>
    </w:p>
    <w:p w:rsidR="00170A90" w:rsidRDefault="00170A90" w:rsidP="00B949C5">
      <w:pPr>
        <w:rPr>
          <w:rFonts w:ascii="Calibri" w:hAnsi="Calibri"/>
        </w:rPr>
      </w:pPr>
      <w:r>
        <w:rPr>
          <w:rFonts w:ascii="Calibri" w:hAnsi="Calibri"/>
        </w:rPr>
        <w:t xml:space="preserve">In addition, you are able to print to the Andrew Printing queues using your own personal computer, provided that your computer has the Andrew Printing software installed and has access to the </w:t>
      </w:r>
      <w:proofErr w:type="gramStart"/>
      <w:r>
        <w:rPr>
          <w:rFonts w:ascii="Calibri" w:hAnsi="Calibri"/>
        </w:rPr>
        <w:t>internet</w:t>
      </w:r>
      <w:proofErr w:type="gramEnd"/>
      <w:r>
        <w:rPr>
          <w:rFonts w:ascii="Calibri" w:hAnsi="Calibri"/>
        </w:rPr>
        <w:t>.  Detailed instructions for configuring your machine to use Andrew Printing are provided by Computing Services [</w:t>
      </w:r>
      <w:r w:rsidRPr="001C592D">
        <w:rPr>
          <w:rFonts w:ascii="Calibri" w:hAnsi="Calibri"/>
        </w:rPr>
        <w:t>http://www.cmu.edu/computing/doc/printing/personal/index.html</w:t>
      </w:r>
      <w:r>
        <w:rPr>
          <w:rFonts w:ascii="Calibri" w:hAnsi="Calibri"/>
        </w:rPr>
        <w:t>]</w:t>
      </w:r>
    </w:p>
    <w:p w:rsidR="00170A90" w:rsidRDefault="00170A90" w:rsidP="00B949C5">
      <w:pPr>
        <w:rPr>
          <w:rFonts w:ascii="Calibri" w:hAnsi="Calibri"/>
        </w:rPr>
      </w:pPr>
      <w:commentRangeStart w:id="0"/>
      <w:r w:rsidRPr="00937ECA">
        <w:rPr>
          <w:rFonts w:ascii="Calibri" w:hAnsi="Calibri"/>
          <w:highlight w:val="yellow"/>
        </w:rPr>
        <w:t>Potential Walkthrough</w:t>
      </w:r>
      <w:commentRangeEnd w:id="0"/>
      <w:r w:rsidRPr="00937ECA">
        <w:rPr>
          <w:rStyle w:val="CommentReference"/>
          <w:rFonts w:ascii="Calibri" w:eastAsia="Cambria" w:hAnsi="Calibri" w:cs="Times New Roman"/>
          <w:i/>
          <w:vanish/>
          <w:highlight w:val="yellow"/>
        </w:rPr>
        <w:commentReference w:id="0"/>
      </w:r>
    </w:p>
    <w:p w:rsidR="00B949C5" w:rsidRDefault="00170A90" w:rsidP="00170A90">
      <w:pPr>
        <w:pBdr>
          <w:top w:val="single" w:sz="4" w:space="1" w:color="000000" w:themeColor="text1"/>
          <w:left w:val="single" w:sz="4" w:space="4" w:color="000000" w:themeColor="text1"/>
          <w:bottom w:val="single" w:sz="4" w:space="1" w:color="000000" w:themeColor="text1"/>
          <w:right w:val="single" w:sz="4" w:space="4" w:color="000000" w:themeColor="text1"/>
        </w:pBdr>
        <w:rPr>
          <w:rFonts w:ascii="Calibri" w:hAnsi="Calibri"/>
        </w:rPr>
      </w:pPr>
      <w:r>
        <w:rPr>
          <w:rFonts w:ascii="Calibri" w:hAnsi="Calibri"/>
        </w:rPr>
        <w:t>Printing from off campus does not require a VPN connection to the campus network—you only need the A</w:t>
      </w:r>
      <w:r w:rsidR="009E256D">
        <w:rPr>
          <w:rFonts w:ascii="Calibri" w:hAnsi="Calibri"/>
        </w:rPr>
        <w:t>ndrew Printing software and an I</w:t>
      </w:r>
      <w:r>
        <w:rPr>
          <w:rFonts w:ascii="Calibri" w:hAnsi="Calibri"/>
        </w:rPr>
        <w:t>nternet connection.</w:t>
      </w:r>
    </w:p>
    <w:p w:rsidR="00B949C5" w:rsidRPr="00B55DA4" w:rsidRDefault="00170A90" w:rsidP="00B55DA4">
      <w:pPr>
        <w:pStyle w:val="Heading3"/>
      </w:pPr>
      <w:r>
        <w:t xml:space="preserve">Where Can I </w:t>
      </w:r>
      <w:proofErr w:type="gramStart"/>
      <w:r>
        <w:t>Print To?</w:t>
      </w:r>
      <w:proofErr w:type="gramEnd"/>
    </w:p>
    <w:p w:rsidR="00EE7ECD" w:rsidRDefault="00EE7ECD" w:rsidP="008E1752">
      <w:pPr>
        <w:rPr>
          <w:rFonts w:asciiTheme="majorHAnsi" w:hAnsiTheme="majorHAnsi"/>
        </w:rPr>
      </w:pPr>
      <w:r>
        <w:rPr>
          <w:rFonts w:asciiTheme="majorHAnsi" w:hAnsiTheme="majorHAnsi"/>
        </w:rPr>
        <w:t xml:space="preserve">The Andrew Printing system works off of a print queue system; a print queue is a temporary staging area for jobs that are waiting to be printed on a printer.  </w:t>
      </w:r>
      <w:r w:rsidR="001B2E13">
        <w:rPr>
          <w:rFonts w:asciiTheme="majorHAnsi" w:hAnsiTheme="majorHAnsi"/>
        </w:rPr>
        <w:t>When</w:t>
      </w:r>
      <w:r>
        <w:rPr>
          <w:rFonts w:asciiTheme="majorHAnsi" w:hAnsiTheme="majorHAnsi"/>
        </w:rPr>
        <w:t xml:space="preserve"> you </w:t>
      </w:r>
      <w:r w:rsidR="001B2E13">
        <w:rPr>
          <w:rFonts w:asciiTheme="majorHAnsi" w:hAnsiTheme="majorHAnsi"/>
        </w:rPr>
        <w:t xml:space="preserve">select </w:t>
      </w:r>
      <w:r>
        <w:rPr>
          <w:rFonts w:asciiTheme="majorHAnsi" w:hAnsiTheme="majorHAnsi"/>
        </w:rPr>
        <w:t>print from a computer, you are sending the file into a print queue.  When you physically visit a printer to retrieve your work, the job is released from the print queue and printed on a specific printer.</w:t>
      </w:r>
    </w:p>
    <w:p w:rsidR="00EE7ECD" w:rsidRDefault="00EE7ECD" w:rsidP="008E1752">
      <w:pPr>
        <w:rPr>
          <w:rFonts w:asciiTheme="majorHAnsi" w:hAnsiTheme="majorHAnsi"/>
        </w:rPr>
      </w:pPr>
      <w:r>
        <w:rPr>
          <w:rFonts w:asciiTheme="majorHAnsi" w:hAnsiTheme="majorHAnsi"/>
        </w:rPr>
        <w:t xml:space="preserve">Every public printer that is available to you has a print queue that is associated with it.  If you select a specific print queue, you will only be able to retrieve your work from the printer that is associated with that specific queue.  Be aware that print queues are temporary; normally individual queues will expire after 4 hours.  This means that you have 4 hours to pick up your print job—after 4 hours you will need to resubmit your print job.  Because your print quota is only charged at the time that you retrieve your </w:t>
      </w:r>
      <w:proofErr w:type="gramStart"/>
      <w:r>
        <w:rPr>
          <w:rFonts w:asciiTheme="majorHAnsi" w:hAnsiTheme="majorHAnsi"/>
        </w:rPr>
        <w:t>print-outs</w:t>
      </w:r>
      <w:proofErr w:type="gramEnd"/>
      <w:r>
        <w:rPr>
          <w:rFonts w:asciiTheme="majorHAnsi" w:hAnsiTheme="majorHAnsi"/>
        </w:rPr>
        <w:t>, you are not charged for jobs that expire.</w:t>
      </w:r>
    </w:p>
    <w:p w:rsidR="00EE7ECD" w:rsidRDefault="00EE7ECD" w:rsidP="001B2E13">
      <w:pPr>
        <w:pStyle w:val="Heading3"/>
      </w:pPr>
      <w:r>
        <w:t>Identifying Individual Print Queues</w:t>
      </w:r>
    </w:p>
    <w:p w:rsidR="001B2E13" w:rsidRDefault="001B2E13" w:rsidP="008E1752">
      <w:pPr>
        <w:rPr>
          <w:rFonts w:asciiTheme="majorHAnsi" w:hAnsiTheme="majorHAnsi"/>
        </w:rPr>
      </w:pPr>
      <w:r>
        <w:rPr>
          <w:rFonts w:asciiTheme="majorHAnsi" w:hAnsiTheme="majorHAnsi"/>
        </w:rPr>
        <w:t>All print queues at Carnegie Mellon follow a set of naming conventions to make it easy to identify the location and printer to which you’ll be printing.  The format is:</w:t>
      </w:r>
    </w:p>
    <w:p w:rsidR="00C31D4C" w:rsidRDefault="001B2E13" w:rsidP="008E1752">
      <w:pPr>
        <w:rPr>
          <w:rFonts w:asciiTheme="majorHAnsi" w:hAnsiTheme="majorHAnsi"/>
        </w:rPr>
      </w:pPr>
      <w:proofErr w:type="spellStart"/>
      <w:proofErr w:type="gramStart"/>
      <w:r>
        <w:rPr>
          <w:rFonts w:asciiTheme="majorHAnsi" w:hAnsiTheme="majorHAnsi"/>
        </w:rPr>
        <w:t>prn</w:t>
      </w:r>
      <w:proofErr w:type="spellEnd"/>
      <w:proofErr w:type="gramEnd"/>
      <w:r w:rsidR="00C31D4C">
        <w:rPr>
          <w:rFonts w:asciiTheme="majorHAnsi" w:hAnsiTheme="majorHAnsi"/>
        </w:rPr>
        <w:t>-FACILITY-BUILDING-PRINTER#</w:t>
      </w:r>
    </w:p>
    <w:p w:rsidR="00C31D4C" w:rsidRDefault="00C31D4C" w:rsidP="008E1752">
      <w:pPr>
        <w:rPr>
          <w:rFonts w:asciiTheme="majorHAnsi" w:hAnsiTheme="majorHAnsi"/>
        </w:rPr>
      </w:pPr>
      <w:proofErr w:type="spellStart"/>
      <w:proofErr w:type="gramStart"/>
      <w:r>
        <w:rPr>
          <w:rFonts w:asciiTheme="majorHAnsi" w:hAnsiTheme="majorHAnsi"/>
        </w:rPr>
        <w:t>prn</w:t>
      </w:r>
      <w:proofErr w:type="spellEnd"/>
      <w:proofErr w:type="gramEnd"/>
      <w:r>
        <w:rPr>
          <w:rFonts w:asciiTheme="majorHAnsi" w:hAnsiTheme="majorHAnsi"/>
        </w:rPr>
        <w:t xml:space="preserve">: all print queues begin with </w:t>
      </w:r>
      <w:proofErr w:type="spellStart"/>
      <w:r>
        <w:rPr>
          <w:rFonts w:asciiTheme="majorHAnsi" w:hAnsiTheme="majorHAnsi"/>
        </w:rPr>
        <w:t>prn</w:t>
      </w:r>
      <w:proofErr w:type="spellEnd"/>
      <w:r>
        <w:rPr>
          <w:rFonts w:asciiTheme="majorHAnsi" w:hAnsiTheme="majorHAnsi"/>
        </w:rPr>
        <w:t>; this abbreviation identifies the resource as a printer</w:t>
      </w:r>
    </w:p>
    <w:p w:rsidR="00C31D4C" w:rsidRDefault="00C31D4C" w:rsidP="008E1752">
      <w:pPr>
        <w:rPr>
          <w:rFonts w:asciiTheme="majorHAnsi" w:hAnsiTheme="majorHAnsi"/>
        </w:rPr>
      </w:pPr>
      <w:r>
        <w:rPr>
          <w:rFonts w:asciiTheme="majorHAnsi" w:hAnsiTheme="majorHAnsi"/>
        </w:rPr>
        <w:t>FACILITY: this section of the name identifies the facility or group to which the printer belongs:</w:t>
      </w:r>
    </w:p>
    <w:tbl>
      <w:tblPr>
        <w:tblStyle w:val="TableGrid"/>
        <w:tblW w:w="0" w:type="auto"/>
        <w:tblLook w:val="00BF"/>
      </w:tblPr>
      <w:tblGrid>
        <w:gridCol w:w="4428"/>
        <w:gridCol w:w="4428"/>
      </w:tblGrid>
      <w:tr w:rsidR="00C31D4C">
        <w:tc>
          <w:tcPr>
            <w:tcW w:w="4428" w:type="dxa"/>
          </w:tcPr>
          <w:p w:rsidR="00C31D4C" w:rsidRDefault="00C31D4C" w:rsidP="008E1752">
            <w:pPr>
              <w:rPr>
                <w:rFonts w:asciiTheme="majorHAnsi" w:hAnsiTheme="majorHAnsi"/>
              </w:rPr>
            </w:pPr>
            <w:r>
              <w:rPr>
                <w:rFonts w:asciiTheme="majorHAnsi" w:hAnsiTheme="majorHAnsi"/>
              </w:rPr>
              <w:t>Abbreviation</w:t>
            </w:r>
          </w:p>
        </w:tc>
        <w:tc>
          <w:tcPr>
            <w:tcW w:w="4428" w:type="dxa"/>
          </w:tcPr>
          <w:p w:rsidR="00C31D4C" w:rsidRDefault="00C31D4C" w:rsidP="008E1752">
            <w:pPr>
              <w:rPr>
                <w:rFonts w:asciiTheme="majorHAnsi" w:hAnsiTheme="majorHAnsi"/>
              </w:rPr>
            </w:pPr>
            <w:r>
              <w:rPr>
                <w:rFonts w:asciiTheme="majorHAnsi" w:hAnsiTheme="majorHAnsi"/>
              </w:rPr>
              <w:t>Name</w:t>
            </w:r>
          </w:p>
        </w:tc>
      </w:tr>
      <w:tr w:rsidR="00C31D4C">
        <w:tc>
          <w:tcPr>
            <w:tcW w:w="4428" w:type="dxa"/>
          </w:tcPr>
          <w:p w:rsidR="00C31D4C" w:rsidRDefault="00C31D4C" w:rsidP="008E1752">
            <w:pPr>
              <w:rPr>
                <w:rFonts w:asciiTheme="majorHAnsi" w:hAnsiTheme="majorHAnsi"/>
              </w:rPr>
            </w:pPr>
            <w:proofErr w:type="spellStart"/>
            <w:r>
              <w:rPr>
                <w:rFonts w:asciiTheme="majorHAnsi" w:hAnsiTheme="majorHAnsi"/>
              </w:rPr>
              <w:t>cl</w:t>
            </w:r>
            <w:proofErr w:type="spellEnd"/>
          </w:p>
        </w:tc>
        <w:tc>
          <w:tcPr>
            <w:tcW w:w="4428" w:type="dxa"/>
          </w:tcPr>
          <w:p w:rsidR="00C31D4C" w:rsidRDefault="00C31D4C" w:rsidP="008E1752">
            <w:pPr>
              <w:rPr>
                <w:rFonts w:asciiTheme="majorHAnsi" w:hAnsiTheme="majorHAnsi"/>
              </w:rPr>
            </w:pPr>
            <w:r>
              <w:rPr>
                <w:rFonts w:asciiTheme="majorHAnsi" w:hAnsiTheme="majorHAnsi"/>
              </w:rPr>
              <w:t>Clusters</w:t>
            </w:r>
          </w:p>
        </w:tc>
      </w:tr>
      <w:tr w:rsidR="00C31D4C">
        <w:tc>
          <w:tcPr>
            <w:tcW w:w="4428" w:type="dxa"/>
          </w:tcPr>
          <w:p w:rsidR="00C31D4C" w:rsidRDefault="00C31D4C" w:rsidP="008E1752">
            <w:pPr>
              <w:rPr>
                <w:rFonts w:asciiTheme="majorHAnsi" w:hAnsiTheme="majorHAnsi"/>
              </w:rPr>
            </w:pPr>
            <w:proofErr w:type="spellStart"/>
            <w:r>
              <w:rPr>
                <w:rFonts w:asciiTheme="majorHAnsi" w:hAnsiTheme="majorHAnsi"/>
              </w:rPr>
              <w:t>cs</w:t>
            </w:r>
            <w:proofErr w:type="spellEnd"/>
          </w:p>
        </w:tc>
        <w:tc>
          <w:tcPr>
            <w:tcW w:w="4428" w:type="dxa"/>
          </w:tcPr>
          <w:p w:rsidR="00C31D4C" w:rsidRDefault="00C31D4C" w:rsidP="008E1752">
            <w:pPr>
              <w:rPr>
                <w:rFonts w:asciiTheme="majorHAnsi" w:hAnsiTheme="majorHAnsi"/>
              </w:rPr>
            </w:pPr>
            <w:r>
              <w:rPr>
                <w:rFonts w:asciiTheme="majorHAnsi" w:hAnsiTheme="majorHAnsi"/>
              </w:rPr>
              <w:t>Computer Science</w:t>
            </w:r>
          </w:p>
        </w:tc>
      </w:tr>
      <w:tr w:rsidR="00C31D4C">
        <w:tc>
          <w:tcPr>
            <w:tcW w:w="4428" w:type="dxa"/>
          </w:tcPr>
          <w:p w:rsidR="00C31D4C" w:rsidRDefault="00C31D4C" w:rsidP="008E1752">
            <w:pPr>
              <w:rPr>
                <w:rFonts w:asciiTheme="majorHAnsi" w:hAnsiTheme="majorHAnsi"/>
              </w:rPr>
            </w:pPr>
            <w:proofErr w:type="spellStart"/>
            <w:proofErr w:type="gramStart"/>
            <w:r>
              <w:rPr>
                <w:rFonts w:asciiTheme="majorHAnsi" w:hAnsiTheme="majorHAnsi"/>
              </w:rPr>
              <w:t>gsia</w:t>
            </w:r>
            <w:proofErr w:type="spellEnd"/>
            <w:proofErr w:type="gramEnd"/>
          </w:p>
        </w:tc>
        <w:tc>
          <w:tcPr>
            <w:tcW w:w="4428" w:type="dxa"/>
          </w:tcPr>
          <w:p w:rsidR="00C31D4C" w:rsidRDefault="00C31D4C" w:rsidP="008E1752">
            <w:pPr>
              <w:rPr>
                <w:rFonts w:asciiTheme="majorHAnsi" w:hAnsiTheme="majorHAnsi"/>
              </w:rPr>
            </w:pPr>
            <w:r>
              <w:rPr>
                <w:rFonts w:asciiTheme="majorHAnsi" w:hAnsiTheme="majorHAnsi"/>
              </w:rPr>
              <w:t>Graduate School of Industrial Art</w:t>
            </w:r>
          </w:p>
        </w:tc>
      </w:tr>
      <w:tr w:rsidR="00C31D4C">
        <w:tc>
          <w:tcPr>
            <w:tcW w:w="4428" w:type="dxa"/>
          </w:tcPr>
          <w:p w:rsidR="00C31D4C" w:rsidRDefault="00C31D4C" w:rsidP="008E1752">
            <w:pPr>
              <w:rPr>
                <w:rFonts w:asciiTheme="majorHAnsi" w:hAnsiTheme="majorHAnsi"/>
              </w:rPr>
            </w:pPr>
            <w:proofErr w:type="spellStart"/>
            <w:proofErr w:type="gramStart"/>
            <w:r>
              <w:rPr>
                <w:rFonts w:asciiTheme="majorHAnsi" w:hAnsiTheme="majorHAnsi"/>
              </w:rPr>
              <w:t>hou</w:t>
            </w:r>
            <w:proofErr w:type="spellEnd"/>
            <w:proofErr w:type="gramEnd"/>
          </w:p>
        </w:tc>
        <w:tc>
          <w:tcPr>
            <w:tcW w:w="4428" w:type="dxa"/>
          </w:tcPr>
          <w:p w:rsidR="00C31D4C" w:rsidRDefault="00C31D4C" w:rsidP="008E1752">
            <w:pPr>
              <w:rPr>
                <w:rFonts w:asciiTheme="majorHAnsi" w:hAnsiTheme="majorHAnsi"/>
              </w:rPr>
            </w:pPr>
            <w:r>
              <w:rPr>
                <w:rFonts w:asciiTheme="majorHAnsi" w:hAnsiTheme="majorHAnsi"/>
              </w:rPr>
              <w:t>Housing</w:t>
            </w:r>
          </w:p>
        </w:tc>
      </w:tr>
      <w:tr w:rsidR="00C31D4C">
        <w:tc>
          <w:tcPr>
            <w:tcW w:w="4428" w:type="dxa"/>
          </w:tcPr>
          <w:p w:rsidR="00C31D4C" w:rsidRDefault="00C31D4C" w:rsidP="008E1752">
            <w:pPr>
              <w:rPr>
                <w:rFonts w:asciiTheme="majorHAnsi" w:hAnsiTheme="majorHAnsi"/>
              </w:rPr>
            </w:pPr>
            <w:proofErr w:type="gramStart"/>
            <w:r>
              <w:rPr>
                <w:rFonts w:asciiTheme="majorHAnsi" w:hAnsiTheme="majorHAnsi"/>
              </w:rPr>
              <w:t>lib</w:t>
            </w:r>
            <w:proofErr w:type="gramEnd"/>
          </w:p>
        </w:tc>
        <w:tc>
          <w:tcPr>
            <w:tcW w:w="4428" w:type="dxa"/>
          </w:tcPr>
          <w:p w:rsidR="00C31D4C" w:rsidRDefault="00C31D4C" w:rsidP="008E1752">
            <w:pPr>
              <w:rPr>
                <w:rFonts w:asciiTheme="majorHAnsi" w:hAnsiTheme="majorHAnsi"/>
              </w:rPr>
            </w:pPr>
            <w:r>
              <w:rPr>
                <w:rFonts w:asciiTheme="majorHAnsi" w:hAnsiTheme="majorHAnsi"/>
              </w:rPr>
              <w:t>Library</w:t>
            </w:r>
          </w:p>
        </w:tc>
      </w:tr>
    </w:tbl>
    <w:p w:rsidR="00C31D4C" w:rsidRDefault="00C31D4C" w:rsidP="008E1752">
      <w:pPr>
        <w:rPr>
          <w:rFonts w:asciiTheme="majorHAnsi" w:hAnsiTheme="majorHAnsi"/>
        </w:rPr>
      </w:pPr>
    </w:p>
    <w:p w:rsidR="00C31D4C" w:rsidRDefault="00C31D4C" w:rsidP="008E1752">
      <w:pPr>
        <w:rPr>
          <w:rFonts w:asciiTheme="majorHAnsi" w:hAnsiTheme="majorHAnsi"/>
        </w:rPr>
      </w:pPr>
      <w:r>
        <w:rPr>
          <w:rFonts w:asciiTheme="majorHAnsi" w:hAnsiTheme="majorHAnsi"/>
        </w:rPr>
        <w:t>BUILDING: The building where the printer is located</w:t>
      </w:r>
    </w:p>
    <w:p w:rsidR="00C31D4C" w:rsidRDefault="00C31D4C" w:rsidP="008E1752">
      <w:pPr>
        <w:rPr>
          <w:rFonts w:asciiTheme="majorHAnsi" w:hAnsiTheme="majorHAnsi"/>
        </w:rPr>
      </w:pPr>
      <w:r>
        <w:rPr>
          <w:rFonts w:asciiTheme="majorHAnsi" w:hAnsiTheme="majorHAnsi"/>
        </w:rPr>
        <w:t>PRINTER#: This number distinguishes printers for facilities that have more than one available.</w:t>
      </w:r>
    </w:p>
    <w:p w:rsidR="00C31D4C" w:rsidRPr="00937ECA" w:rsidRDefault="00C31D4C" w:rsidP="008E1752">
      <w:pPr>
        <w:rPr>
          <w:rFonts w:asciiTheme="majorHAnsi" w:hAnsiTheme="majorHAnsi"/>
          <w:highlight w:val="yellow"/>
        </w:rPr>
      </w:pPr>
      <w:r w:rsidRPr="00937ECA">
        <w:rPr>
          <w:rFonts w:asciiTheme="majorHAnsi" w:hAnsiTheme="majorHAnsi"/>
          <w:highlight w:val="yellow"/>
        </w:rPr>
        <w:t>Example:</w:t>
      </w:r>
    </w:p>
    <w:p w:rsidR="00875D44" w:rsidRPr="00937ECA" w:rsidRDefault="00875D44" w:rsidP="008E1752">
      <w:pPr>
        <w:rPr>
          <w:rFonts w:ascii="Times" w:hAnsi="Times" w:cs="Times"/>
          <w:sz w:val="32"/>
          <w:szCs w:val="32"/>
          <w:highlight w:val="yellow"/>
        </w:rPr>
      </w:pPr>
      <w:commentRangeStart w:id="1"/>
      <w:proofErr w:type="gramStart"/>
      <w:r w:rsidRPr="00937ECA">
        <w:rPr>
          <w:rFonts w:ascii="Times" w:hAnsi="Times" w:cs="Times"/>
          <w:sz w:val="32"/>
          <w:szCs w:val="32"/>
          <w:highlight w:val="yellow"/>
        </w:rPr>
        <w:t>prn</w:t>
      </w:r>
      <w:proofErr w:type="gramEnd"/>
      <w:r w:rsidRPr="00937ECA">
        <w:rPr>
          <w:rFonts w:ascii="Times" w:hAnsi="Times" w:cs="Times"/>
          <w:sz w:val="32"/>
          <w:szCs w:val="32"/>
          <w:highlight w:val="yellow"/>
        </w:rPr>
        <w:t>-cl-baker-2</w:t>
      </w:r>
    </w:p>
    <w:p w:rsidR="001B2E13" w:rsidRDefault="00875D44" w:rsidP="008E1752">
      <w:pPr>
        <w:rPr>
          <w:rFonts w:asciiTheme="majorHAnsi" w:hAnsiTheme="majorHAnsi"/>
        </w:rPr>
      </w:pPr>
      <w:proofErr w:type="gramStart"/>
      <w:r w:rsidRPr="00937ECA">
        <w:rPr>
          <w:rFonts w:ascii="Times" w:hAnsi="Times" w:cs="Times"/>
          <w:sz w:val="32"/>
          <w:szCs w:val="32"/>
          <w:highlight w:val="yellow"/>
        </w:rPr>
        <w:t>prn</w:t>
      </w:r>
      <w:proofErr w:type="gramEnd"/>
      <w:r w:rsidRPr="00937ECA">
        <w:rPr>
          <w:rFonts w:ascii="Times" w:hAnsi="Times" w:cs="Times"/>
          <w:sz w:val="32"/>
          <w:szCs w:val="32"/>
          <w:highlight w:val="yellow"/>
        </w:rPr>
        <w:t>-hou-mudge-1</w:t>
      </w:r>
      <w:r w:rsidR="00C31D4C">
        <w:rPr>
          <w:rFonts w:asciiTheme="majorHAnsi" w:hAnsiTheme="majorHAnsi"/>
        </w:rPr>
        <w:t xml:space="preserve"> </w:t>
      </w:r>
    </w:p>
    <w:commentRangeEnd w:id="1"/>
    <w:p w:rsidR="00EE7ECD" w:rsidRDefault="00875D44" w:rsidP="00875D44">
      <w:pPr>
        <w:pStyle w:val="Heading3"/>
      </w:pPr>
      <w:r>
        <w:rPr>
          <w:rStyle w:val="CommentReference"/>
          <w:rFonts w:ascii="Calibri" w:eastAsia="Cambria" w:hAnsi="Calibri" w:cs="Times New Roman"/>
          <w:i/>
          <w:vanish/>
        </w:rPr>
        <w:commentReference w:id="1"/>
      </w:r>
      <w:r>
        <w:t>Special Print Queues</w:t>
      </w:r>
    </w:p>
    <w:p w:rsidR="00875D44" w:rsidRDefault="00875D44" w:rsidP="008E1752">
      <w:pPr>
        <w:rPr>
          <w:rFonts w:asciiTheme="majorHAnsi" w:hAnsiTheme="majorHAnsi"/>
        </w:rPr>
      </w:pPr>
      <w:r>
        <w:rPr>
          <w:rFonts w:asciiTheme="majorHAnsi" w:hAnsiTheme="majorHAnsi"/>
        </w:rPr>
        <w:t xml:space="preserve">In most cases, a print queue associated with an individual printer and has a </w:t>
      </w:r>
      <w:proofErr w:type="gramStart"/>
      <w:r>
        <w:rPr>
          <w:rFonts w:asciiTheme="majorHAnsi" w:hAnsiTheme="majorHAnsi"/>
        </w:rPr>
        <w:t>4 hour</w:t>
      </w:r>
      <w:proofErr w:type="gramEnd"/>
      <w:r>
        <w:rPr>
          <w:rFonts w:asciiTheme="majorHAnsi" w:hAnsiTheme="majorHAnsi"/>
        </w:rPr>
        <w:t xml:space="preserve"> expiration.  However, there are two special queues that have their own rules</w:t>
      </w:r>
    </w:p>
    <w:p w:rsidR="00875D44" w:rsidRDefault="00875D44" w:rsidP="00875D4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ajorHAnsi" w:hAnsiTheme="majorHAnsi"/>
        </w:rPr>
      </w:pPr>
      <w:r>
        <w:rPr>
          <w:rFonts w:asciiTheme="majorHAnsi" w:hAnsiTheme="majorHAnsi"/>
        </w:rPr>
        <w:t>University Center: The print queue associated with the University Center, prn-cl-uc-1, allows you to plan for an extended expiration time.  Print jobs sent to this queue expire in 12 hours.</w:t>
      </w:r>
    </w:p>
    <w:p w:rsidR="00875D44" w:rsidRDefault="00875D44" w:rsidP="00875D4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Theme="majorHAnsi" w:hAnsiTheme="majorHAnsi"/>
        </w:rPr>
      </w:pPr>
      <w:r>
        <w:rPr>
          <w:rFonts w:asciiTheme="majorHAnsi" w:hAnsiTheme="majorHAnsi"/>
        </w:rPr>
        <w:t>Andrew Central: Unlike other queues, the “Andrew Central queue is not associated with a specific printer; instead this queue can be released from any black and white Andrew Printing location.</w:t>
      </w:r>
    </w:p>
    <w:p w:rsidR="00875D44" w:rsidRDefault="00875D44" w:rsidP="00875D44">
      <w:pPr>
        <w:pStyle w:val="Heading3"/>
      </w:pPr>
      <w:r>
        <w:t>Printer Locations</w:t>
      </w:r>
    </w:p>
    <w:p w:rsidR="00DE6C05" w:rsidRPr="008E1752" w:rsidRDefault="00875D44" w:rsidP="008E1752">
      <w:pPr>
        <w:rPr>
          <w:rFonts w:asciiTheme="majorHAnsi" w:hAnsiTheme="majorHAnsi"/>
        </w:rPr>
      </w:pPr>
      <w:r>
        <w:rPr>
          <w:rFonts w:asciiTheme="majorHAnsi" w:hAnsiTheme="majorHAnsi"/>
        </w:rPr>
        <w:t>Printers can be found in the following locations:</w:t>
      </w:r>
    </w:p>
    <w:p w:rsidR="00DE6C05" w:rsidRPr="00B949C5" w:rsidRDefault="00B949C5" w:rsidP="00B949C5">
      <w:pPr>
        <w:pStyle w:val="Heading2List"/>
        <w:numPr>
          <w:ilvl w:val="0"/>
          <w:numId w:val="1"/>
        </w:numPr>
        <w:rPr>
          <w:b w:val="0"/>
        </w:rPr>
      </w:pPr>
      <w:r>
        <w:rPr>
          <w:b w:val="0"/>
        </w:rPr>
        <w:t xml:space="preserve">All University </w:t>
      </w:r>
      <w:r w:rsidR="00DE6C05" w:rsidRPr="00B949C5">
        <w:rPr>
          <w:b w:val="0"/>
        </w:rPr>
        <w:t>Libraries</w:t>
      </w:r>
    </w:p>
    <w:p w:rsidR="00DE6C05" w:rsidRPr="00B949C5" w:rsidRDefault="00B949C5" w:rsidP="00B949C5">
      <w:pPr>
        <w:pStyle w:val="Heading2List"/>
        <w:numPr>
          <w:ilvl w:val="0"/>
          <w:numId w:val="1"/>
        </w:numPr>
        <w:rPr>
          <w:b w:val="0"/>
        </w:rPr>
      </w:pPr>
      <w:r>
        <w:rPr>
          <w:b w:val="0"/>
        </w:rPr>
        <w:t xml:space="preserve">All Computing Services </w:t>
      </w:r>
      <w:r w:rsidR="00DE6C05" w:rsidRPr="00B949C5">
        <w:rPr>
          <w:b w:val="0"/>
        </w:rPr>
        <w:t>Clusters</w:t>
      </w:r>
    </w:p>
    <w:p w:rsidR="00DE6C05" w:rsidRPr="00B949C5" w:rsidRDefault="00B949C5" w:rsidP="00B949C5">
      <w:pPr>
        <w:pStyle w:val="Heading2List"/>
        <w:numPr>
          <w:ilvl w:val="0"/>
          <w:numId w:val="1"/>
        </w:numPr>
        <w:rPr>
          <w:b w:val="0"/>
        </w:rPr>
      </w:pPr>
      <w:r>
        <w:rPr>
          <w:b w:val="0"/>
        </w:rPr>
        <w:t>The University Center</w:t>
      </w:r>
    </w:p>
    <w:p w:rsidR="00DE6C05" w:rsidRPr="00B949C5" w:rsidRDefault="00B949C5" w:rsidP="00B949C5">
      <w:pPr>
        <w:pStyle w:val="Heading2List"/>
        <w:numPr>
          <w:ilvl w:val="0"/>
          <w:numId w:val="1"/>
        </w:numPr>
        <w:rPr>
          <w:b w:val="0"/>
        </w:rPr>
      </w:pPr>
      <w:r>
        <w:rPr>
          <w:b w:val="0"/>
        </w:rPr>
        <w:t xml:space="preserve">Donner Hall, </w:t>
      </w:r>
      <w:proofErr w:type="spellStart"/>
      <w:r>
        <w:rPr>
          <w:b w:val="0"/>
        </w:rPr>
        <w:t>Mudge</w:t>
      </w:r>
      <w:proofErr w:type="spellEnd"/>
      <w:r>
        <w:rPr>
          <w:b w:val="0"/>
        </w:rPr>
        <w:t xml:space="preserve">, West Wing, and </w:t>
      </w:r>
      <w:proofErr w:type="spellStart"/>
      <w:r>
        <w:rPr>
          <w:b w:val="0"/>
        </w:rPr>
        <w:t>Morewood</w:t>
      </w:r>
      <w:proofErr w:type="spellEnd"/>
      <w:r>
        <w:rPr>
          <w:b w:val="0"/>
        </w:rPr>
        <w:t xml:space="preserve"> dormitories</w:t>
      </w:r>
    </w:p>
    <w:p w:rsidR="00DE6C05" w:rsidRPr="00B949C5" w:rsidRDefault="00B949C5" w:rsidP="00B949C5">
      <w:pPr>
        <w:pStyle w:val="Heading2List"/>
        <w:numPr>
          <w:ilvl w:val="0"/>
          <w:numId w:val="1"/>
        </w:numPr>
        <w:rPr>
          <w:b w:val="0"/>
        </w:rPr>
      </w:pPr>
      <w:r>
        <w:rPr>
          <w:b w:val="0"/>
        </w:rPr>
        <w:t xml:space="preserve">The </w:t>
      </w:r>
      <w:proofErr w:type="spellStart"/>
      <w:r>
        <w:rPr>
          <w:b w:val="0"/>
        </w:rPr>
        <w:t>Tepper</w:t>
      </w:r>
      <w:proofErr w:type="spellEnd"/>
      <w:r>
        <w:rPr>
          <w:b w:val="0"/>
        </w:rPr>
        <w:t xml:space="preserve"> School undergraduate lounge</w:t>
      </w:r>
    </w:p>
    <w:p w:rsidR="00875D44" w:rsidRDefault="00DE6C05" w:rsidP="00B949C5">
      <w:pPr>
        <w:pStyle w:val="Heading2List"/>
        <w:numPr>
          <w:ilvl w:val="0"/>
          <w:numId w:val="1"/>
        </w:numPr>
        <w:rPr>
          <w:b w:val="0"/>
        </w:rPr>
      </w:pPr>
      <w:r w:rsidRPr="00B949C5">
        <w:rPr>
          <w:b w:val="0"/>
        </w:rPr>
        <w:t>Gates</w:t>
      </w:r>
      <w:r w:rsidR="00B949C5">
        <w:rPr>
          <w:b w:val="0"/>
        </w:rPr>
        <w:t xml:space="preserve"> building 3</w:t>
      </w:r>
      <w:r w:rsidR="00B949C5" w:rsidRPr="00B949C5">
        <w:rPr>
          <w:b w:val="0"/>
          <w:vertAlign w:val="superscript"/>
        </w:rPr>
        <w:t>rd</w:t>
      </w:r>
      <w:r w:rsidR="00B949C5">
        <w:rPr>
          <w:b w:val="0"/>
        </w:rPr>
        <w:t xml:space="preserve"> and 5</w:t>
      </w:r>
      <w:r w:rsidR="00B949C5" w:rsidRPr="00B949C5">
        <w:rPr>
          <w:b w:val="0"/>
          <w:vertAlign w:val="superscript"/>
        </w:rPr>
        <w:t>th</w:t>
      </w:r>
      <w:r w:rsidR="00B949C5">
        <w:rPr>
          <w:b w:val="0"/>
        </w:rPr>
        <w:t xml:space="preserve"> floors</w:t>
      </w:r>
    </w:p>
    <w:p w:rsidR="00875D44" w:rsidRDefault="00875D44" w:rsidP="00875D44">
      <w:pPr>
        <w:pStyle w:val="Heading2List"/>
        <w:numPr>
          <w:ilvl w:val="0"/>
          <w:numId w:val="0"/>
        </w:numPr>
        <w:ind w:left="1440" w:hanging="360"/>
        <w:rPr>
          <w:b w:val="0"/>
        </w:rPr>
      </w:pPr>
    </w:p>
    <w:p w:rsidR="00875D44" w:rsidRDefault="00875D44" w:rsidP="00875D44">
      <w:pPr>
        <w:pStyle w:val="Heading2List"/>
        <w:numPr>
          <w:ilvl w:val="0"/>
          <w:numId w:val="0"/>
        </w:numPr>
        <w:ind w:left="1440" w:hanging="360"/>
        <w:rPr>
          <w:b w:val="0"/>
        </w:rPr>
      </w:pPr>
    </w:p>
    <w:p w:rsidR="00DE6C05" w:rsidRPr="00B949C5" w:rsidRDefault="00875D44" w:rsidP="00875D44">
      <w:pPr>
        <w:pStyle w:val="Heading2List"/>
        <w:numPr>
          <w:ilvl w:val="0"/>
          <w:numId w:val="0"/>
        </w:numPr>
        <w:ind w:left="1440" w:hanging="360"/>
        <w:rPr>
          <w:b w:val="0"/>
        </w:rPr>
      </w:pPr>
      <w:r>
        <w:rPr>
          <w:b w:val="0"/>
        </w:rPr>
        <w:t>Consult the map below for more details on campus printing facilities</w:t>
      </w:r>
    </w:p>
    <w:p w:rsidR="00B949C5" w:rsidRDefault="001B2E13" w:rsidP="00B949C5">
      <w:pPr>
        <w:pStyle w:val="Heading2List"/>
        <w:numPr>
          <w:ilvl w:val="0"/>
          <w:numId w:val="0"/>
        </w:numPr>
        <w:rPr>
          <w:b w:val="0"/>
        </w:rPr>
      </w:pPr>
      <w:r w:rsidRPr="00EE7ECD">
        <w:drawing>
          <wp:inline distT="0" distB="0" distL="0" distR="0">
            <wp:extent cx="5486400" cy="4175017"/>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4175017"/>
                    </a:xfrm>
                    <a:prstGeom prst="rect">
                      <a:avLst/>
                    </a:prstGeom>
                    <a:noFill/>
                    <a:ln w="9525">
                      <a:noFill/>
                      <a:miter lim="800000"/>
                      <a:headEnd/>
                      <a:tailEnd/>
                    </a:ln>
                  </pic:spPr>
                </pic:pic>
              </a:graphicData>
            </a:graphic>
          </wp:inline>
        </w:drawing>
      </w:r>
      <w:hyperlink r:id="rId8" w:history="1">
        <w:r w:rsidR="00FA19BD" w:rsidRPr="00C421D4">
          <w:rPr>
            <w:rStyle w:val="Hyperlink"/>
          </w:rPr>
          <w:t>http://www.cmu.edu/computing/clusters/facilities/clustermap.gif</w:t>
        </w:r>
      </w:hyperlink>
    </w:p>
    <w:p w:rsidR="00B949C5" w:rsidRDefault="00B949C5" w:rsidP="00B949C5">
      <w:pPr>
        <w:pStyle w:val="Heading2List"/>
        <w:numPr>
          <w:ilvl w:val="0"/>
          <w:numId w:val="0"/>
        </w:numPr>
        <w:ind w:left="1440" w:hanging="360"/>
        <w:rPr>
          <w:b w:val="0"/>
        </w:rPr>
      </w:pPr>
    </w:p>
    <w:p w:rsidR="00DE6C05" w:rsidRPr="00B949C5" w:rsidRDefault="00DE6C05" w:rsidP="001C592D">
      <w:pPr>
        <w:pStyle w:val="Heading2List"/>
        <w:numPr>
          <w:ilvl w:val="0"/>
          <w:numId w:val="0"/>
        </w:numPr>
        <w:rPr>
          <w:b w:val="0"/>
        </w:rPr>
      </w:pPr>
    </w:p>
    <w:p w:rsidR="00DE6C05" w:rsidRPr="001C592D" w:rsidRDefault="00DE6C05" w:rsidP="001C592D">
      <w:pPr>
        <w:rPr>
          <w:rFonts w:ascii="Calibri" w:hAnsi="Calibri"/>
        </w:rPr>
      </w:pPr>
    </w:p>
    <w:p w:rsidR="00DE6C05" w:rsidRPr="00875D44" w:rsidRDefault="00875D44" w:rsidP="00875D44">
      <w:pPr>
        <w:pStyle w:val="Heading3"/>
      </w:pPr>
      <w:r w:rsidRPr="00875D44">
        <w:t>Other Printing Considerations:</w:t>
      </w:r>
      <w:r>
        <w:t xml:space="preserve"> Double Sided, Color and Large Format</w:t>
      </w:r>
    </w:p>
    <w:p w:rsidR="00DE6C05" w:rsidRPr="001C592D" w:rsidRDefault="001C592D" w:rsidP="001C592D">
      <w:pPr>
        <w:rPr>
          <w:rFonts w:ascii="Calibri" w:hAnsi="Calibri"/>
        </w:rPr>
      </w:pPr>
      <w:r>
        <w:rPr>
          <w:rFonts w:ascii="Calibri" w:hAnsi="Calibri"/>
        </w:rPr>
        <w:t xml:space="preserve">Printing a single sided or </w:t>
      </w:r>
      <w:proofErr w:type="gramStart"/>
      <w:r>
        <w:rPr>
          <w:rFonts w:ascii="Calibri" w:hAnsi="Calibri"/>
        </w:rPr>
        <w:t>double sided</w:t>
      </w:r>
      <w:proofErr w:type="gramEnd"/>
      <w:r>
        <w:rPr>
          <w:rFonts w:ascii="Calibri" w:hAnsi="Calibri"/>
        </w:rPr>
        <w:t xml:space="preserve"> document costs the same amount on Andrew Printing.  </w:t>
      </w:r>
      <w:r w:rsidR="00DE6C05" w:rsidRPr="001C592D">
        <w:rPr>
          <w:rFonts w:ascii="Calibri" w:hAnsi="Calibri"/>
        </w:rPr>
        <w:t>Double Sided</w:t>
      </w:r>
      <w:r>
        <w:rPr>
          <w:rFonts w:ascii="Calibri" w:hAnsi="Calibri"/>
        </w:rPr>
        <w:t xml:space="preserve"> printing is</w:t>
      </w:r>
      <w:r w:rsidR="00DE6C05" w:rsidRPr="001C592D">
        <w:rPr>
          <w:rFonts w:ascii="Calibri" w:hAnsi="Calibri"/>
        </w:rPr>
        <w:t xml:space="preserve"> default in Clusters</w:t>
      </w:r>
      <w:r w:rsidR="00875D44">
        <w:rPr>
          <w:rFonts w:ascii="Calibri" w:hAnsi="Calibri"/>
        </w:rPr>
        <w:t>.  Remember that part of the motivation behind using a quota system is to minimize waste—use double-sided printing when possible.</w:t>
      </w:r>
    </w:p>
    <w:p w:rsidR="00DE6C05" w:rsidRPr="00C532E2" w:rsidRDefault="001C592D" w:rsidP="00C532E2">
      <w:pPr>
        <w:rPr>
          <w:rFonts w:ascii="Calibri" w:hAnsi="Calibri"/>
        </w:rPr>
      </w:pPr>
      <w:r>
        <w:rPr>
          <w:rFonts w:ascii="Calibri" w:hAnsi="Calibri"/>
        </w:rPr>
        <w:t xml:space="preserve">There are color printers </w:t>
      </w:r>
      <w:r w:rsidR="00DE6C05" w:rsidRPr="001C592D">
        <w:rPr>
          <w:rFonts w:ascii="Calibri" w:hAnsi="Calibri"/>
        </w:rPr>
        <w:t>available at 4</w:t>
      </w:r>
      <w:r w:rsidR="00DE6C05" w:rsidRPr="001C592D">
        <w:rPr>
          <w:rFonts w:ascii="Calibri" w:hAnsi="Calibri"/>
          <w:vertAlign w:val="superscript"/>
        </w:rPr>
        <w:t>th</w:t>
      </w:r>
      <w:r w:rsidR="00DE6C05" w:rsidRPr="001C592D">
        <w:rPr>
          <w:rFonts w:ascii="Calibri" w:hAnsi="Calibri"/>
        </w:rPr>
        <w:t xml:space="preserve"> floor Hunt Library and 3</w:t>
      </w:r>
      <w:r w:rsidR="00DE6C05" w:rsidRPr="001C592D">
        <w:rPr>
          <w:rFonts w:ascii="Calibri" w:hAnsi="Calibri"/>
          <w:vertAlign w:val="superscript"/>
        </w:rPr>
        <w:t>rd</w:t>
      </w:r>
      <w:r w:rsidR="00DE6C05" w:rsidRPr="001C592D">
        <w:rPr>
          <w:rFonts w:ascii="Calibri" w:hAnsi="Calibri"/>
        </w:rPr>
        <w:t xml:space="preserve"> floor College of Fine Arts building</w:t>
      </w:r>
      <w:r>
        <w:rPr>
          <w:rFonts w:ascii="Calibri" w:hAnsi="Calibri"/>
        </w:rPr>
        <w:t>.</w:t>
      </w:r>
      <w:r w:rsidR="00C532E2">
        <w:rPr>
          <w:rFonts w:ascii="Calibri" w:hAnsi="Calibri"/>
        </w:rPr>
        <w:t xml:space="preserve">  </w:t>
      </w:r>
      <w:r w:rsidR="00DE6C05" w:rsidRPr="00C532E2">
        <w:rPr>
          <w:rFonts w:ascii="Calibri" w:hAnsi="Calibri"/>
        </w:rPr>
        <w:t xml:space="preserve">Tabloid printing is available at CFA, Hunt, Wean and </w:t>
      </w:r>
      <w:proofErr w:type="spellStart"/>
      <w:r w:rsidR="00DE6C05" w:rsidRPr="00C532E2">
        <w:rPr>
          <w:rFonts w:ascii="Calibri" w:hAnsi="Calibri"/>
        </w:rPr>
        <w:t>Cyert</w:t>
      </w:r>
      <w:proofErr w:type="spellEnd"/>
      <w:r w:rsidR="00DE6C05" w:rsidRPr="00C532E2">
        <w:rPr>
          <w:rFonts w:ascii="Calibri" w:hAnsi="Calibri"/>
        </w:rPr>
        <w:t xml:space="preserve"> Hall.</w:t>
      </w:r>
      <w:r w:rsidR="00875D44">
        <w:rPr>
          <w:rFonts w:ascii="Calibri" w:hAnsi="Calibri"/>
        </w:rPr>
        <w:t xml:space="preserve">  If your work requires a color or large format print out, you will need to select an appropriate print queue.</w:t>
      </w:r>
    </w:p>
    <w:p w:rsidR="00DA3DD2" w:rsidRDefault="00DA3DD2" w:rsidP="00937ECA">
      <w:pPr>
        <w:pStyle w:val="Heading3"/>
      </w:pPr>
      <w:r>
        <w:t>Selecting a Print Queue</w:t>
      </w:r>
    </w:p>
    <w:p w:rsidR="00DA3DD2" w:rsidRDefault="00DA3DD2" w:rsidP="00DA3DD2">
      <w:pPr>
        <w:rPr>
          <w:rFonts w:ascii="Calibri" w:hAnsi="Calibri"/>
        </w:rPr>
      </w:pPr>
      <w:r>
        <w:rPr>
          <w:rFonts w:ascii="Calibri" w:hAnsi="Calibri"/>
        </w:rPr>
        <w:t>Selecting an appropriate print queue is a matter of considering your specific needs:</w:t>
      </w:r>
    </w:p>
    <w:p w:rsidR="00DA3DD2" w:rsidRDefault="00DA3DD2" w:rsidP="00DA3DD2">
      <w:pPr>
        <w:pStyle w:val="ListParagraph"/>
        <w:numPr>
          <w:ilvl w:val="0"/>
          <w:numId w:val="5"/>
        </w:numPr>
        <w:rPr>
          <w:rFonts w:ascii="Calibri" w:hAnsi="Calibri"/>
        </w:rPr>
      </w:pPr>
      <w:r>
        <w:rPr>
          <w:rFonts w:ascii="Calibri" w:hAnsi="Calibri"/>
        </w:rPr>
        <w:t>Do you need to print in color or larger formats?</w:t>
      </w:r>
    </w:p>
    <w:p w:rsidR="00B06D09" w:rsidRDefault="00DA3DD2" w:rsidP="00DA3DD2">
      <w:pPr>
        <w:pStyle w:val="ListParagraph"/>
        <w:numPr>
          <w:ilvl w:val="0"/>
          <w:numId w:val="5"/>
        </w:numPr>
        <w:rPr>
          <w:rFonts w:ascii="Calibri" w:hAnsi="Calibri"/>
        </w:rPr>
      </w:pPr>
      <w:r>
        <w:rPr>
          <w:rFonts w:ascii="Calibri" w:hAnsi="Calibri"/>
        </w:rPr>
        <w:t xml:space="preserve">How soon will you be able to pick </w:t>
      </w:r>
      <w:r w:rsidR="00B06D09">
        <w:rPr>
          <w:rFonts w:ascii="Calibri" w:hAnsi="Calibri"/>
        </w:rPr>
        <w:t>your documents?</w:t>
      </w:r>
    </w:p>
    <w:p w:rsidR="00B06D09" w:rsidRDefault="00B06D09" w:rsidP="00DA3DD2">
      <w:pPr>
        <w:pStyle w:val="ListParagraph"/>
        <w:numPr>
          <w:ilvl w:val="0"/>
          <w:numId w:val="5"/>
        </w:numPr>
        <w:rPr>
          <w:rFonts w:ascii="Calibri" w:hAnsi="Calibri"/>
        </w:rPr>
      </w:pPr>
      <w:r>
        <w:rPr>
          <w:rFonts w:ascii="Calibri" w:hAnsi="Calibri"/>
        </w:rPr>
        <w:t>What location is convenient to you?</w:t>
      </w:r>
    </w:p>
    <w:p w:rsidR="00DA3DD2" w:rsidRPr="00DA3DD2" w:rsidRDefault="00B06D09" w:rsidP="00DA3DD2">
      <w:pPr>
        <w:pStyle w:val="ListParagraph"/>
        <w:numPr>
          <w:ilvl w:val="0"/>
          <w:numId w:val="5"/>
        </w:numPr>
        <w:rPr>
          <w:rFonts w:ascii="Calibri" w:hAnsi="Calibri"/>
        </w:rPr>
      </w:pPr>
      <w:r>
        <w:rPr>
          <w:rFonts w:ascii="Calibri" w:hAnsi="Calibri"/>
        </w:rPr>
        <w:t>Other considerations: is my quota adequate?</w:t>
      </w:r>
    </w:p>
    <w:p w:rsidR="00B06D09" w:rsidRDefault="00B06D09" w:rsidP="00B06D09">
      <w:pPr>
        <w:pStyle w:val="Heading2List"/>
        <w:numPr>
          <w:ilvl w:val="0"/>
          <w:numId w:val="0"/>
        </w:numPr>
        <w:rPr>
          <w:b w:val="0"/>
        </w:rPr>
      </w:pPr>
    </w:p>
    <w:p w:rsidR="00DE6C05" w:rsidRPr="00C532E2" w:rsidRDefault="00B06D09" w:rsidP="00C30AB4">
      <w:pPr>
        <w:pStyle w:val="Heading2List"/>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rPr>
          <w:b w:val="0"/>
        </w:rPr>
      </w:pPr>
      <w:r>
        <w:rPr>
          <w:b w:val="0"/>
        </w:rPr>
        <w:t xml:space="preserve">Color or Large Formats: because only a limited number of printers are able to provide color or large format prints, these requirements </w:t>
      </w:r>
      <w:r w:rsidR="009E256D">
        <w:rPr>
          <w:b w:val="0"/>
        </w:rPr>
        <w:t>restrict you to specific queues.</w:t>
      </w:r>
      <w:r>
        <w:rPr>
          <w:b w:val="0"/>
        </w:rPr>
        <w:t xml:space="preserve"> </w:t>
      </w:r>
      <w:r w:rsidR="009E256D">
        <w:rPr>
          <w:b w:val="0"/>
        </w:rPr>
        <w:t>Color queues are:</w:t>
      </w:r>
      <w:r w:rsidR="00937ECA">
        <w:rPr>
          <w:b w:val="0"/>
        </w:rPr>
        <w:t xml:space="preserve"> </w:t>
      </w:r>
      <w:proofErr w:type="spellStart"/>
      <w:r>
        <w:rPr>
          <w:b w:val="0"/>
        </w:rPr>
        <w:t>prn-cl-cfa-c</w:t>
      </w:r>
      <w:proofErr w:type="spellEnd"/>
      <w:r>
        <w:rPr>
          <w:b w:val="0"/>
        </w:rPr>
        <w:t xml:space="preserve"> or prn-lib-</w:t>
      </w:r>
      <w:r w:rsidR="009E256D">
        <w:rPr>
          <w:b w:val="0"/>
        </w:rPr>
        <w:t xml:space="preserve">hl4-arts-colorlaser. </w:t>
      </w:r>
    </w:p>
    <w:p w:rsidR="00C30AB4" w:rsidRDefault="00C30AB4" w:rsidP="001C592D">
      <w:pPr>
        <w:rPr>
          <w:rFonts w:ascii="Calibri" w:hAnsi="Calibri"/>
          <w:b/>
        </w:rPr>
      </w:pPr>
    </w:p>
    <w:p w:rsidR="00DA3DD2" w:rsidRP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rPr>
          <w:rFonts w:ascii="Calibri" w:hAnsi="Calibri"/>
        </w:rPr>
      </w:pPr>
      <w:r>
        <w:rPr>
          <w:rFonts w:ascii="Calibri" w:hAnsi="Calibri"/>
        </w:rPr>
        <w:t>How Soon: remember that only the University Center (pr-cl-uc-1) has an extended expiration time of 12 hours.  All queues need to be picked up within 4 hours.</w:t>
      </w:r>
    </w:p>
    <w:p w:rsidR="00C30AB4" w:rsidRDefault="00C30AB4" w:rsidP="00C30AB4"/>
    <w:p w:rsid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pPr>
      <w:r>
        <w:t>Location: If you would like to be able to pick up your black and white print job from any printer, the Andrew Central queue can be released at any public printer.  Otherwise, you’ll want to consult a campus map and select a printer that is will be convenient for you.</w:t>
      </w:r>
    </w:p>
    <w:p w:rsidR="00C30AB4" w:rsidRDefault="00C30AB4" w:rsidP="00C30AB4"/>
    <w:p w:rsidR="00C30AB4" w:rsidRP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pPr>
      <w:r w:rsidRPr="00C30AB4">
        <w:rPr>
          <w:highlight w:val="yellow"/>
        </w:rPr>
        <w:t xml:space="preserve">Worked Example: Provide a scenario for </w:t>
      </w:r>
      <w:proofErr w:type="spellStart"/>
      <w:r w:rsidRPr="00C30AB4">
        <w:rPr>
          <w:highlight w:val="yellow"/>
        </w:rPr>
        <w:t>Anshu</w:t>
      </w:r>
      <w:proofErr w:type="spellEnd"/>
      <w:r w:rsidRPr="00C30AB4">
        <w:rPr>
          <w:highlight w:val="yellow"/>
        </w:rPr>
        <w:t xml:space="preserve"> that requires him to walk through the steps above.  IE give his specific location and the timeline and needs, then step by step ask and answer the questions</w:t>
      </w:r>
    </w:p>
    <w:p w:rsidR="00C30AB4" w:rsidRDefault="00C30AB4" w:rsidP="00DA3DD2">
      <w:pPr>
        <w:pStyle w:val="Heading3"/>
      </w:pPr>
    </w:p>
    <w:p w:rsidR="00C30AB4" w:rsidRP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rPr>
          <w:highlight w:val="yellow"/>
        </w:rPr>
      </w:pPr>
      <w:r w:rsidRPr="00C30AB4">
        <w:rPr>
          <w:highlight w:val="yellow"/>
        </w:rPr>
        <w:t>Mini-Tutor (Learn By Doing?): Provide student with drop down of printer queues (probably in a mockup from an actual printing app).  Give a scenario (type of print, where are you, etc) and ask students to pick an appropriate print queue form the list.  Hints for these will essentially be the three steps above, maybe with a campus map that shows up and highlights.  2-3 scenarios:</w:t>
      </w:r>
    </w:p>
    <w:p w:rsidR="00C30AB4" w:rsidRP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rPr>
          <w:highlight w:val="yellow"/>
        </w:rPr>
      </w:pPr>
      <w:r w:rsidRPr="00C30AB4">
        <w:rPr>
          <w:highlight w:val="yellow"/>
        </w:rPr>
        <w:t>Is this overkill? Would just questions w/o mockup and map do as well?</w:t>
      </w:r>
    </w:p>
    <w:p w:rsidR="00C30AB4" w:rsidRPr="00C30AB4" w:rsidRDefault="00C30AB4" w:rsidP="00C30AB4">
      <w:pPr>
        <w:pBdr>
          <w:top w:val="single" w:sz="4" w:space="1" w:color="000000" w:themeColor="text1"/>
          <w:left w:val="single" w:sz="4" w:space="4" w:color="000000" w:themeColor="text1"/>
          <w:bottom w:val="single" w:sz="4" w:space="1" w:color="000000" w:themeColor="text1"/>
          <w:right w:val="single" w:sz="4" w:space="4" w:color="000000" w:themeColor="text1"/>
        </w:pBdr>
      </w:pPr>
      <w:r w:rsidRPr="00C30AB4">
        <w:rPr>
          <w:highlight w:val="yellow"/>
        </w:rPr>
        <w:t>Do we need to incorporate quota management into this?  How?</w:t>
      </w:r>
    </w:p>
    <w:p w:rsidR="00C532E2" w:rsidRDefault="00DA3DD2" w:rsidP="00DA3DD2">
      <w:pPr>
        <w:pStyle w:val="Heading3"/>
      </w:pPr>
      <w:r>
        <w:t>Printing Problems</w:t>
      </w:r>
    </w:p>
    <w:p w:rsidR="00DA3DD2" w:rsidRDefault="00875D44" w:rsidP="00C532E2">
      <w:pPr>
        <w:rPr>
          <w:rFonts w:ascii="Calibri" w:hAnsi="Calibri"/>
        </w:rPr>
      </w:pPr>
      <w:r>
        <w:rPr>
          <w:rFonts w:ascii="Calibri" w:hAnsi="Calibri"/>
        </w:rPr>
        <w:t>Cluster Services</w:t>
      </w:r>
      <w:r w:rsidR="00C532E2" w:rsidRPr="00C532E2">
        <w:rPr>
          <w:rFonts w:ascii="Calibri" w:hAnsi="Calibri"/>
        </w:rPr>
        <w:t xml:space="preserve"> maintains a webpage </w:t>
      </w:r>
      <w:r>
        <w:rPr>
          <w:rFonts w:ascii="Calibri" w:hAnsi="Calibri"/>
        </w:rPr>
        <w:t>that</w:t>
      </w:r>
      <w:r w:rsidR="00C532E2" w:rsidRPr="00C532E2">
        <w:rPr>
          <w:rFonts w:ascii="Calibri" w:hAnsi="Calibri"/>
        </w:rPr>
        <w:t xml:space="preserve"> gives an overview of the current status of all printers on the Andrew Printing system.  You can find out of a printer is functioning and the stat</w:t>
      </w:r>
      <w:r>
        <w:rPr>
          <w:rFonts w:ascii="Calibri" w:hAnsi="Calibri"/>
        </w:rPr>
        <w:t>us of it</w:t>
      </w:r>
      <w:r w:rsidR="00C532E2" w:rsidRPr="00C532E2">
        <w:rPr>
          <w:rFonts w:ascii="Calibri" w:hAnsi="Calibri"/>
        </w:rPr>
        <w:t xml:space="preserve">s toner and paper supply by visiting: </w:t>
      </w:r>
      <w:hyperlink r:id="rId9" w:history="1">
        <w:r w:rsidR="00DE6C05" w:rsidRPr="00C532E2">
          <w:rPr>
            <w:rStyle w:val="Hyperlink"/>
            <w:rFonts w:ascii="Calibri" w:hAnsi="Calibri"/>
          </w:rPr>
          <w:t>http://Clusters.andrew.cmu.edu/printerstats/</w:t>
        </w:r>
      </w:hyperlink>
      <w:r w:rsidR="00DE6C05" w:rsidRPr="00C532E2">
        <w:rPr>
          <w:rFonts w:ascii="Calibri" w:hAnsi="Calibri"/>
        </w:rPr>
        <w:t xml:space="preserve"> </w:t>
      </w:r>
    </w:p>
    <w:p w:rsidR="00937ECA" w:rsidRDefault="00DA3DD2" w:rsidP="00C532E2">
      <w:pPr>
        <w:rPr>
          <w:rFonts w:ascii="Calibri" w:hAnsi="Calibri"/>
        </w:rPr>
      </w:pPr>
      <w:r>
        <w:rPr>
          <w:rFonts w:ascii="Calibri" w:hAnsi="Calibri"/>
        </w:rPr>
        <w:t>For any printing-related problems, you can contact a Cluster Consultant (</w:t>
      </w:r>
      <w:proofErr w:type="spellStart"/>
      <w:r>
        <w:rPr>
          <w:rFonts w:ascii="Calibri" w:hAnsi="Calibri"/>
        </w:rPr>
        <w:t>CCon</w:t>
      </w:r>
      <w:proofErr w:type="spellEnd"/>
      <w:r>
        <w:rPr>
          <w:rFonts w:ascii="Calibri" w:hAnsi="Calibri"/>
        </w:rPr>
        <w:t>). These consultants are available at 412-268-8776 during staffed hours.</w:t>
      </w:r>
    </w:p>
    <w:p w:rsidR="00DE6C05" w:rsidRPr="00C532E2" w:rsidRDefault="00937ECA" w:rsidP="00937ECA">
      <w:pPr>
        <w:pStyle w:val="Heading3"/>
      </w:pPr>
      <w:r>
        <w:t>Learn More</w:t>
      </w:r>
    </w:p>
    <w:p w:rsidR="00937ECA" w:rsidRDefault="00937ECA" w:rsidP="00937ECA">
      <w:pPr>
        <w:pBdr>
          <w:top w:val="single" w:sz="4" w:space="1" w:color="000000" w:themeColor="text1"/>
          <w:left w:val="single" w:sz="4" w:space="4" w:color="000000" w:themeColor="text1"/>
          <w:bottom w:val="single" w:sz="4" w:space="1" w:color="000000" w:themeColor="text1"/>
          <w:right w:val="single" w:sz="4" w:space="4" w:color="000000" w:themeColor="text1"/>
        </w:pBdr>
      </w:pPr>
      <w:r>
        <w:t>Additional information and documentation on Andrew Printing can be found at:</w:t>
      </w:r>
      <w:r>
        <w:br/>
        <w:t>Andrew Printing Documentation:</w:t>
      </w:r>
      <w:r>
        <w:br/>
      </w:r>
      <w:r w:rsidRPr="00937ECA">
        <w:t>http://www.cmu.edu/computing/doc/printing/index.html</w:t>
      </w:r>
    </w:p>
    <w:p w:rsidR="0053286A" w:rsidRDefault="00937ECA" w:rsidP="00937ECA">
      <w:pPr>
        <w:pBdr>
          <w:top w:val="single" w:sz="4" w:space="1" w:color="000000" w:themeColor="text1"/>
          <w:left w:val="single" w:sz="4" w:space="4" w:color="000000" w:themeColor="text1"/>
          <w:bottom w:val="single" w:sz="4" w:space="1" w:color="000000" w:themeColor="text1"/>
          <w:right w:val="single" w:sz="4" w:space="4" w:color="000000" w:themeColor="text1"/>
        </w:pBdr>
      </w:pPr>
      <w:r>
        <w:t>Andrew Services Cluster Printing [</w:t>
      </w:r>
      <w:r w:rsidRPr="00937ECA">
        <w:t>http://www.cmu.edu/computing/clusters/printing/index.html</w:t>
      </w:r>
      <w:r>
        <w:t>]</w:t>
      </w:r>
      <w:r>
        <w:br/>
      </w:r>
    </w:p>
    <w:sectPr w:rsidR="0053286A" w:rsidSect="0053286A">
      <w:pgSz w:w="12240" w:h="15840"/>
      <w:pgMar w:top="1440" w:right="1800" w:bottom="1440" w:left="1800" w:gutter="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 w:date="2010-04-14T14:07:00Z" w:initials="??">
    <w:p w:rsidR="00C30AB4" w:rsidRPr="00170A90" w:rsidRDefault="00C30AB4">
      <w:pPr>
        <w:pStyle w:val="CommentText"/>
        <w:rPr>
          <w:i w:val="0"/>
        </w:rPr>
      </w:pPr>
      <w:r>
        <w:rPr>
          <w:rStyle w:val="CommentReference"/>
        </w:rPr>
        <w:annotationRef/>
      </w:r>
      <w:r>
        <w:rPr>
          <w:i w:val="0"/>
        </w:rPr>
        <w:t>There’s room for a walk though here, but I don’t know if it’s necessary—objectives don’t seem to require it and the existing doc is pretty clear.</w:t>
      </w:r>
    </w:p>
  </w:comment>
  <w:comment w:id="1" w:author="" w:date="2010-04-14T14:41:00Z" w:initials="??">
    <w:p w:rsidR="00C30AB4" w:rsidRDefault="00C30AB4">
      <w:pPr>
        <w:pStyle w:val="CommentText"/>
      </w:pPr>
      <w:r>
        <w:rPr>
          <w:rStyle w:val="CommentReference"/>
        </w:rPr>
        <w:annotationRef/>
      </w:r>
      <w:r>
        <w:t xml:space="preserve">Should turn these into images w/ arrows identifying the </w:t>
      </w:r>
      <w:proofErr w:type="spellStart"/>
      <w:r>
        <w:t>compoennts</w:t>
      </w:r>
      <w:proofErr w:type="spellEnd"/>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1C"/>
    <w:multiLevelType w:val="multilevel"/>
    <w:tmpl w:val="894EE88E"/>
    <w:lvl w:ilvl="0">
      <w:start w:val="1"/>
      <w:numFmt w:val="bullet"/>
      <w:lvlText w:val="·"/>
      <w:lvlJc w:val="left"/>
      <w:pPr>
        <w:tabs>
          <w:tab w:val="num" w:pos="360"/>
        </w:tabs>
        <w:ind w:left="360" w:firstLine="360"/>
      </w:pPr>
      <w:rPr>
        <w:rFonts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4"/>
      </w:rPr>
    </w:lvl>
    <w:lvl w:ilvl="2">
      <w:start w:val="1"/>
      <w:numFmt w:val="bullet"/>
      <w:suff w:val="nothing"/>
      <w:lvlText w:val=""/>
      <w:lvlJc w:val="left"/>
      <w:pPr>
        <w:ind w:left="0" w:firstLine="2160"/>
      </w:pPr>
      <w:rPr>
        <w:rFonts w:ascii="Wingdings" w:eastAsia="ヒラギノ角ゴ Pro W3" w:hAnsi="Wingdings" w:hint="default"/>
        <w:position w:val="0"/>
        <w:sz w:val="24"/>
      </w:rPr>
    </w:lvl>
    <w:lvl w:ilvl="3">
      <w:start w:val="1"/>
      <w:numFmt w:val="bullet"/>
      <w:suff w:val="nothing"/>
      <w:lvlText w:val="·"/>
      <w:lvlJc w:val="left"/>
      <w:pPr>
        <w:ind w:left="0" w:firstLine="2880"/>
      </w:pPr>
      <w:rPr>
        <w:rFonts w:hint="default"/>
        <w:position w:val="0"/>
        <w:sz w:val="24"/>
      </w:rPr>
    </w:lvl>
    <w:lvl w:ilvl="4">
      <w:start w:val="1"/>
      <w:numFmt w:val="bullet"/>
      <w:suff w:val="nothing"/>
      <w:lvlText w:val="o"/>
      <w:lvlJc w:val="left"/>
      <w:pPr>
        <w:ind w:left="0" w:firstLine="3600"/>
      </w:pPr>
      <w:rPr>
        <w:rFonts w:ascii="Courier New" w:eastAsia="ヒラギノ角ゴ Pro W3" w:hAnsi="Courier New" w:hint="default"/>
        <w:position w:val="0"/>
        <w:sz w:val="24"/>
      </w:rPr>
    </w:lvl>
    <w:lvl w:ilvl="5">
      <w:start w:val="1"/>
      <w:numFmt w:val="bullet"/>
      <w:suff w:val="nothing"/>
      <w:lvlText w:val=""/>
      <w:lvlJc w:val="left"/>
      <w:pPr>
        <w:ind w:left="0" w:firstLine="4320"/>
      </w:pPr>
      <w:rPr>
        <w:rFonts w:ascii="Wingdings" w:eastAsia="ヒラギノ角ゴ Pro W3" w:hAnsi="Wingdings" w:hint="default"/>
        <w:position w:val="0"/>
        <w:sz w:val="24"/>
      </w:rPr>
    </w:lvl>
    <w:lvl w:ilvl="6">
      <w:start w:val="1"/>
      <w:numFmt w:val="bullet"/>
      <w:suff w:val="nothing"/>
      <w:lvlText w:val="·"/>
      <w:lvlJc w:val="left"/>
      <w:pPr>
        <w:ind w:left="0" w:firstLine="5040"/>
      </w:pPr>
      <w:rPr>
        <w:rFonts w:hint="default"/>
        <w:position w:val="0"/>
        <w:sz w:val="24"/>
      </w:rPr>
    </w:lvl>
    <w:lvl w:ilvl="7">
      <w:start w:val="1"/>
      <w:numFmt w:val="bullet"/>
      <w:suff w:val="nothing"/>
      <w:lvlText w:val="o"/>
      <w:lvlJc w:val="left"/>
      <w:pPr>
        <w:ind w:left="0" w:firstLine="5760"/>
      </w:pPr>
      <w:rPr>
        <w:rFonts w:ascii="Courier New" w:eastAsia="ヒラギノ角ゴ Pro W3" w:hAnsi="Courier New" w:hint="default"/>
        <w:position w:val="0"/>
        <w:sz w:val="24"/>
      </w:rPr>
    </w:lvl>
    <w:lvl w:ilvl="8">
      <w:start w:val="1"/>
      <w:numFmt w:val="bullet"/>
      <w:suff w:val="nothing"/>
      <w:lvlText w:val=""/>
      <w:lvlJc w:val="left"/>
      <w:pPr>
        <w:ind w:left="0" w:firstLine="6480"/>
      </w:pPr>
      <w:rPr>
        <w:rFonts w:ascii="Wingdings" w:eastAsia="ヒラギノ角ゴ Pro W3" w:hAnsi="Wingdings" w:hint="default"/>
        <w:position w:val="0"/>
        <w:sz w:val="24"/>
      </w:rPr>
    </w:lvl>
  </w:abstractNum>
  <w:abstractNum w:abstractNumId="1">
    <w:nsid w:val="2FEA6D61"/>
    <w:multiLevelType w:val="hybridMultilevel"/>
    <w:tmpl w:val="7F043CD2"/>
    <w:lvl w:ilvl="0" w:tplc="04090001">
      <w:start w:val="1"/>
      <w:numFmt w:val="bullet"/>
      <w:lvlText w:val=""/>
      <w:lvlJc w:val="left"/>
      <w:pPr>
        <w:ind w:left="720" w:hanging="360"/>
      </w:pPr>
      <w:rPr>
        <w:rFonts w:ascii="Symbol" w:hAnsi="Symbol" w:hint="default"/>
      </w:rPr>
    </w:lvl>
    <w:lvl w:ilvl="1" w:tplc="C0DEA19E">
      <w:start w:val="1"/>
      <w:numFmt w:val="bullet"/>
      <w:pStyle w:val="Heading2Lis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A3F20"/>
    <w:multiLevelType w:val="hybridMultilevel"/>
    <w:tmpl w:val="AA1E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F64A1"/>
    <w:multiLevelType w:val="hybridMultilevel"/>
    <w:tmpl w:val="B90C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04F17"/>
    <w:multiLevelType w:val="hybridMultilevel"/>
    <w:tmpl w:val="EC2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22456"/>
    <w:multiLevelType w:val="hybridMultilevel"/>
    <w:tmpl w:val="7C7E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B2003A"/>
    <w:multiLevelType w:val="hybridMultilevel"/>
    <w:tmpl w:val="9B3A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3286A"/>
    <w:rsid w:val="00096CCA"/>
    <w:rsid w:val="00143F30"/>
    <w:rsid w:val="00170A90"/>
    <w:rsid w:val="00197CF8"/>
    <w:rsid w:val="001B2E13"/>
    <w:rsid w:val="001C592D"/>
    <w:rsid w:val="001D33F3"/>
    <w:rsid w:val="001F7BBE"/>
    <w:rsid w:val="00394FEB"/>
    <w:rsid w:val="003A0FD4"/>
    <w:rsid w:val="00403FA3"/>
    <w:rsid w:val="00493082"/>
    <w:rsid w:val="0053286A"/>
    <w:rsid w:val="00633A96"/>
    <w:rsid w:val="00770BD2"/>
    <w:rsid w:val="007A4344"/>
    <w:rsid w:val="007F0AD7"/>
    <w:rsid w:val="00875D44"/>
    <w:rsid w:val="008C0F83"/>
    <w:rsid w:val="008E1752"/>
    <w:rsid w:val="00920292"/>
    <w:rsid w:val="00933753"/>
    <w:rsid w:val="00937ECA"/>
    <w:rsid w:val="00997DB1"/>
    <w:rsid w:val="009E256D"/>
    <w:rsid w:val="00A22DDA"/>
    <w:rsid w:val="00A622EE"/>
    <w:rsid w:val="00A751F9"/>
    <w:rsid w:val="00B06D09"/>
    <w:rsid w:val="00B55DA4"/>
    <w:rsid w:val="00B85D2F"/>
    <w:rsid w:val="00B949C5"/>
    <w:rsid w:val="00C30AB4"/>
    <w:rsid w:val="00C31D4C"/>
    <w:rsid w:val="00C532E2"/>
    <w:rsid w:val="00D262CC"/>
    <w:rsid w:val="00DA3DD2"/>
    <w:rsid w:val="00DB592E"/>
    <w:rsid w:val="00DE6C05"/>
    <w:rsid w:val="00EE7ECD"/>
    <w:rsid w:val="00F7270E"/>
    <w:rsid w:val="00FA19BD"/>
  </w:rsids>
  <m:mathPr>
    <m:mathFont m:val="TimesNew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90"/>
  </w:style>
  <w:style w:type="paragraph" w:styleId="Heading2">
    <w:name w:val="heading 2"/>
    <w:basedOn w:val="Heading2List"/>
    <w:next w:val="Normal"/>
    <w:link w:val="Heading2Char"/>
    <w:unhideWhenUsed/>
    <w:qFormat/>
    <w:rsid w:val="00DE6C05"/>
    <w:pPr>
      <w:keepNext/>
      <w:keepLines/>
      <w:outlineLvl w:val="1"/>
    </w:pPr>
    <w:rPr>
      <w:rFonts w:eastAsiaTheme="majorEastAsia" w:cstheme="majorBidi"/>
      <w:b w:val="0"/>
      <w:bCs/>
      <w:color w:val="4F81BD" w:themeColor="accent1"/>
      <w:szCs w:val="26"/>
    </w:rPr>
  </w:style>
  <w:style w:type="paragraph" w:styleId="Heading3">
    <w:name w:val="heading 3"/>
    <w:basedOn w:val="Normal"/>
    <w:next w:val="Normal"/>
    <w:link w:val="Heading3Char"/>
    <w:uiPriority w:val="9"/>
    <w:unhideWhenUsed/>
    <w:qFormat/>
    <w:rsid w:val="00DE6C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DE6C05"/>
    <w:rPr>
      <w:rFonts w:ascii="Calibri" w:eastAsiaTheme="majorEastAsia" w:hAnsi="Calibri" w:cstheme="majorBidi"/>
      <w:bCs/>
      <w:color w:val="4F81BD" w:themeColor="accent1"/>
      <w:szCs w:val="26"/>
    </w:rPr>
  </w:style>
  <w:style w:type="paragraph" w:styleId="ListParagraph">
    <w:name w:val="List Paragraph"/>
    <w:basedOn w:val="Normal"/>
    <w:uiPriority w:val="99"/>
    <w:qFormat/>
    <w:rsid w:val="00DE6C05"/>
    <w:pPr>
      <w:spacing w:after="0"/>
      <w:ind w:left="720"/>
      <w:contextualSpacing/>
    </w:pPr>
    <w:rPr>
      <w:rFonts w:ascii="Cambria" w:eastAsia="Cambria" w:hAnsi="Cambria" w:cs="Times New Roman"/>
    </w:rPr>
  </w:style>
  <w:style w:type="character" w:styleId="CommentReference">
    <w:name w:val="annotation reference"/>
    <w:basedOn w:val="DefaultParagraphFont"/>
    <w:uiPriority w:val="99"/>
    <w:semiHidden/>
    <w:unhideWhenUsed/>
    <w:rsid w:val="00DE6C05"/>
    <w:rPr>
      <w:sz w:val="18"/>
      <w:szCs w:val="18"/>
    </w:rPr>
  </w:style>
  <w:style w:type="paragraph" w:styleId="CommentText">
    <w:name w:val="annotation text"/>
    <w:basedOn w:val="Normal"/>
    <w:link w:val="CommentTextChar"/>
    <w:autoRedefine/>
    <w:uiPriority w:val="99"/>
    <w:unhideWhenUsed/>
    <w:rsid w:val="00DE6C05"/>
    <w:pPr>
      <w:spacing w:after="0"/>
    </w:pPr>
    <w:rPr>
      <w:rFonts w:ascii="Calibri" w:eastAsia="Cambria" w:hAnsi="Calibri" w:cs="Times New Roman"/>
      <w:i/>
    </w:rPr>
  </w:style>
  <w:style w:type="character" w:customStyle="1" w:styleId="CommentTextChar">
    <w:name w:val="Comment Text Char"/>
    <w:basedOn w:val="DefaultParagraphFont"/>
    <w:link w:val="CommentText"/>
    <w:uiPriority w:val="99"/>
    <w:rsid w:val="00DE6C05"/>
    <w:rPr>
      <w:rFonts w:ascii="Calibri" w:eastAsia="Cambria" w:hAnsi="Calibri" w:cs="Times New Roman"/>
      <w:i/>
    </w:rPr>
  </w:style>
  <w:style w:type="character" w:styleId="Hyperlink">
    <w:name w:val="Hyperlink"/>
    <w:basedOn w:val="DefaultParagraphFont"/>
    <w:uiPriority w:val="99"/>
    <w:semiHidden/>
    <w:unhideWhenUsed/>
    <w:rsid w:val="00DE6C05"/>
    <w:rPr>
      <w:color w:val="0000FF" w:themeColor="hyperlink"/>
      <w:u w:val="single"/>
    </w:rPr>
  </w:style>
  <w:style w:type="paragraph" w:customStyle="1" w:styleId="Heading2List">
    <w:name w:val="Heading 2 List"/>
    <w:basedOn w:val="ListParagraph"/>
    <w:qFormat/>
    <w:rsid w:val="00DE6C05"/>
    <w:pPr>
      <w:numPr>
        <w:ilvl w:val="1"/>
        <w:numId w:val="1"/>
      </w:numPr>
    </w:pPr>
    <w:rPr>
      <w:rFonts w:ascii="Calibri" w:hAnsi="Calibri"/>
      <w:b/>
    </w:rPr>
  </w:style>
  <w:style w:type="paragraph" w:styleId="BalloonText">
    <w:name w:val="Balloon Text"/>
    <w:basedOn w:val="Normal"/>
    <w:link w:val="BalloonTextChar"/>
    <w:uiPriority w:val="99"/>
    <w:semiHidden/>
    <w:unhideWhenUsed/>
    <w:rsid w:val="00DE6C0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C05"/>
    <w:rPr>
      <w:rFonts w:ascii="Lucida Grande" w:hAnsi="Lucida Grande"/>
      <w:sz w:val="18"/>
      <w:szCs w:val="18"/>
    </w:rPr>
  </w:style>
  <w:style w:type="character" w:customStyle="1" w:styleId="Heading3Char">
    <w:name w:val="Heading 3 Char"/>
    <w:basedOn w:val="DefaultParagraphFont"/>
    <w:link w:val="Heading3"/>
    <w:uiPriority w:val="9"/>
    <w:rsid w:val="00DE6C05"/>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C592D"/>
    <w:pPr>
      <w:spacing w:after="200"/>
    </w:pPr>
    <w:rPr>
      <w:rFonts w:asciiTheme="minorHAnsi" w:eastAsiaTheme="minorHAnsi" w:hAnsiTheme="minorHAnsi" w:cstheme="minorBidi"/>
      <w:b/>
      <w:bCs/>
      <w:i w:val="0"/>
      <w:sz w:val="20"/>
      <w:szCs w:val="20"/>
    </w:rPr>
  </w:style>
  <w:style w:type="character" w:customStyle="1" w:styleId="CommentSubjectChar">
    <w:name w:val="Comment Subject Char"/>
    <w:basedOn w:val="CommentTextChar"/>
    <w:link w:val="CommentSubject"/>
    <w:uiPriority w:val="99"/>
    <w:semiHidden/>
    <w:rsid w:val="001C592D"/>
    <w:rPr>
      <w:b/>
      <w:bCs/>
      <w:sz w:val="20"/>
      <w:szCs w:val="20"/>
    </w:rPr>
  </w:style>
  <w:style w:type="character" w:styleId="FollowedHyperlink">
    <w:name w:val="FollowedHyperlink"/>
    <w:basedOn w:val="DefaultParagraphFont"/>
    <w:uiPriority w:val="99"/>
    <w:semiHidden/>
    <w:unhideWhenUsed/>
    <w:rsid w:val="00F7270E"/>
    <w:rPr>
      <w:color w:val="800080" w:themeColor="followedHyperlink"/>
      <w:u w:val="single"/>
    </w:rPr>
  </w:style>
  <w:style w:type="table" w:styleId="TableGrid">
    <w:name w:val="Table Grid"/>
    <w:basedOn w:val="TableNormal"/>
    <w:rsid w:val="008C0F8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y.cmu.edu/portal/site/main/finances/" TargetMode="Externa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hyperlink" Target="http://www.cmu.edu/computing/clusters/facilities/clustermap.gif" TargetMode="External"/><Relationship Id="rId9" Type="http://schemas.openxmlformats.org/officeDocument/2006/relationships/hyperlink" Target="http://clusters.andrew.cmu.edu/printersta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2017</Words>
  <Characters>11498</Characters>
  <Application>Microsoft Word 12.0.0</Application>
  <DocSecurity>0</DocSecurity>
  <Lines>95</Lines>
  <Paragraphs>22</Paragraphs>
  <ScaleCrop>false</ScaleCrop>
  <Company>Carnegie Mellon University</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Deighan Eaton</dc:creator>
  <cp:keywords/>
  <cp:lastModifiedBy>Connie Eaton</cp:lastModifiedBy>
  <cp:revision>3</cp:revision>
  <dcterms:created xsi:type="dcterms:W3CDTF">2010-04-14T19:53:00Z</dcterms:created>
  <dcterms:modified xsi:type="dcterms:W3CDTF">2010-04-15T00:23:00Z</dcterms:modified>
</cp:coreProperties>
</file>